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wmf" ContentType="image/x-wmf"/>
  <Override PartName="/word/media/image4.jpeg" ContentType="image/jpeg"/>
  <Override PartName="/word/media/image2.jpeg" ContentType="image/jpeg"/>
  <Override PartName="/word/media/image3.png" ContentType="image/png"/>
  <Override PartName="/word/media/image5.wmf" ContentType="image/x-wmf"/>
  <Override PartName="/word/media/image6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drawing>
          <wp:anchor behindDoc="0" distT="0" distB="0" distL="0" distR="0" simplePos="0" locked="0" layoutInCell="1" allowOverlap="1" relativeHeight="5">
            <wp:simplePos x="0" y="0"/>
            <wp:positionH relativeFrom="column">
              <wp:posOffset>1214755</wp:posOffset>
            </wp:positionH>
            <wp:positionV relativeFrom="paragraph">
              <wp:posOffset>7620</wp:posOffset>
            </wp:positionV>
            <wp:extent cx="2113280" cy="1674495"/>
            <wp:effectExtent l="0" t="0" r="0" b="0"/>
            <wp:wrapNone/>
            <wp:docPr id="1" name="Рисунок 19" descr="tor_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9" descr="tor_logo2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3280" cy="1674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Start w:id="1" w:name="_GoBack"/>
      <w:bookmarkEnd w:id="1"/>
    </w:p>
    <w:p>
      <w:pPr>
        <w:pStyle w:val="Normal"/>
        <w:widowControl w:val="false"/>
        <w:shd w:val="clear" w:color="auto" w:fill="FFFFFF"/>
        <w:tabs>
          <w:tab w:val="clear" w:pos="708"/>
          <w:tab w:val="left" w:pos="727" w:leader="none"/>
        </w:tabs>
        <w:spacing w:before="2" w:after="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b/>
          <w:b/>
          <w:bCs/>
          <w:color w:val="000000"/>
          <w:kern w:val="2"/>
          <w:sz w:val="18"/>
        </w:rPr>
      </w:pPr>
      <w:r>
        <w:rPr>
          <w:rFonts w:cs="Tahoma" w:ascii="Tahoma" w:hAnsi="Tahoma"/>
          <w:b/>
          <w:bCs/>
          <w:color w:val="000000"/>
          <w:kern w:val="2"/>
          <w:sz w:val="18"/>
        </w:rPr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b/>
          <w:b/>
          <w:bCs/>
          <w:color w:val="000000"/>
          <w:kern w:val="2"/>
          <w:sz w:val="18"/>
        </w:rPr>
      </w:pPr>
      <w:r>
        <w:rPr>
          <w:rFonts w:cs="Tahoma" w:ascii="Tahoma" w:hAnsi="Tahoma"/>
          <w:b/>
          <w:bCs/>
          <w:color w:val="000000"/>
          <w:kern w:val="2"/>
          <w:sz w:val="18"/>
        </w:rPr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b/>
          <w:b/>
          <w:bCs/>
          <w:color w:val="000000"/>
          <w:kern w:val="2"/>
          <w:sz w:val="18"/>
        </w:rPr>
      </w:pPr>
      <w:r>
        <w:rPr>
          <w:rFonts w:cs="Tahoma" w:ascii="Tahoma" w:hAnsi="Tahoma"/>
          <w:b/>
          <w:bCs/>
          <w:color w:val="000000"/>
          <w:kern w:val="2"/>
          <w:sz w:val="18"/>
        </w:rPr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b/>
          <w:b/>
          <w:bCs/>
          <w:color w:val="000000"/>
          <w:kern w:val="2"/>
          <w:sz w:val="28"/>
        </w:rPr>
      </w:pPr>
      <w:r>
        <w:rPr>
          <w:rFonts w:cs="Tahoma" w:ascii="Tahoma" w:hAnsi="Tahoma"/>
          <w:b/>
          <w:bCs/>
          <w:color w:val="000000"/>
          <w:kern w:val="2"/>
          <w:sz w:val="28"/>
        </w:rPr>
        <w:t xml:space="preserve">ТЕЛЕЖКА РУЧНАЯ ГИДРАВЛИЧЕСКАЯ </w:t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sz w:val="22"/>
        </w:rPr>
      </w:pPr>
      <w:r>
        <w:rPr>
          <w:rFonts w:cs="Tahoma" w:ascii="Tahoma" w:hAnsi="Tahoma"/>
          <w:sz w:val="22"/>
        </w:rPr>
        <w:t xml:space="preserve">серия </w:t>
      </w:r>
      <w:r>
        <w:rPr>
          <w:rFonts w:cs="Tahoma" w:ascii="Tahoma" w:hAnsi="Tahoma"/>
          <w:sz w:val="22"/>
          <w:lang w:val="en-US"/>
        </w:rPr>
        <w:t>CBY</w:t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b/>
          <w:b/>
          <w:bCs/>
          <w:color w:val="000000"/>
          <w:kern w:val="2"/>
          <w:sz w:val="18"/>
        </w:rPr>
      </w:pPr>
      <w:r>
        <w:rPr>
          <w:rFonts w:cs="Tahoma" w:ascii="Tahoma" w:hAnsi="Tahoma"/>
          <w:b/>
          <w:bCs/>
          <w:color w:val="000000"/>
          <w:kern w:val="2"/>
          <w:sz w:val="18"/>
        </w:rPr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b/>
          <w:b/>
          <w:bCs/>
          <w:color w:val="000000"/>
          <w:kern w:val="2"/>
          <w:sz w:val="22"/>
        </w:rPr>
      </w:pPr>
      <w:r>
        <w:rPr>
          <w:rFonts w:cs="Tahoma" w:ascii="Tahoma" w:hAnsi="Tahoma"/>
          <w:b/>
          <w:bCs/>
          <w:color w:val="000000"/>
          <w:kern w:val="2"/>
          <w:sz w:val="22"/>
        </w:rPr>
        <w:t>РУКОВОДСТВО ПО ЭКСПЛУАТАЦИИ</w:t>
      </w:r>
    </w:p>
    <w:p>
      <w:pPr>
        <w:pStyle w:val="Normal"/>
        <w:overflowPunct w:val="true"/>
        <w:jc w:val="center"/>
        <w:rPr>
          <w:rFonts w:ascii="Tahoma" w:hAnsi="Tahoma" w:cs="Tahoma"/>
          <w:b/>
          <w:b/>
          <w:bCs/>
          <w:color w:val="000000"/>
          <w:kern w:val="2"/>
          <w:sz w:val="22"/>
        </w:rPr>
      </w:pPr>
      <w:r>
        <w:rPr>
          <w:rFonts w:cs="Tahoma" w:ascii="Tahoma" w:hAnsi="Tahoma"/>
          <w:b/>
          <w:bCs/>
          <w:color w:val="000000"/>
          <w:kern w:val="2"/>
          <w:sz w:val="22"/>
        </w:rPr>
        <w:t>(ПАСПОРТ)</w:t>
      </w:r>
    </w:p>
    <w:p>
      <w:pPr>
        <w:pStyle w:val="Normal"/>
        <w:widowControl w:val="false"/>
        <w:overflowPunct w:val="true"/>
        <w:jc w:val="center"/>
        <w:rPr>
          <w:rFonts w:ascii="Tahoma" w:hAnsi="Tahoma" w:cs="Tahoma"/>
          <w:color w:val="000000"/>
          <w:kern w:val="2"/>
          <w:sz w:val="18"/>
        </w:rPr>
      </w:pPr>
      <w:r>
        <w:rPr>
          <w:rFonts w:cs="Tahoma" w:ascii="Tahoma" w:hAnsi="Tahoma"/>
          <w:color w:val="000000"/>
          <w:kern w:val="2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drawing>
          <wp:anchor behindDoc="0" distT="0" distB="0" distL="0" distR="0" simplePos="0" locked="0" layoutInCell="1" allowOverlap="1" relativeHeight="7">
            <wp:simplePos x="0" y="0"/>
            <wp:positionH relativeFrom="column">
              <wp:posOffset>817880</wp:posOffset>
            </wp:positionH>
            <wp:positionV relativeFrom="paragraph">
              <wp:posOffset>87630</wp:posOffset>
            </wp:positionV>
            <wp:extent cx="2987675" cy="2894330"/>
            <wp:effectExtent l="0" t="0" r="0" b="0"/>
            <wp:wrapNone/>
            <wp:docPr id="2" name="Рисунок 21" descr="CBY-DF 2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1" descr="CBY-DF 2500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675" cy="2894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lineRule="atLeast" w:line="20"/>
        <w:ind w:right="-851" w:hanging="0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2"/>
        </w:rPr>
      </w:pPr>
      <w:r>
        <w:rPr>
          <w:rFonts w:cs="Tahoma" w:ascii="Tahoma" w:hAnsi="Tahoma"/>
          <w:sz w:val="2"/>
        </w:rPr>
      </w:r>
      <w:r>
        <w:br w:type="page"/>
      </w:r>
    </w:p>
    <w:p>
      <w:pPr>
        <w:pStyle w:val="Normal"/>
        <w:widowControl w:val="false"/>
        <w:numPr>
          <w:ilvl w:val="0"/>
          <w:numId w:val="1"/>
        </w:numPr>
        <w:shd w:val="clear" w:color="auto" w:fill="FFFFFF"/>
        <w:tabs>
          <w:tab w:val="clear" w:pos="708"/>
          <w:tab w:val="left" w:pos="727" w:leader="none"/>
        </w:tabs>
        <w:ind w:left="0" w:hanging="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bCs/>
          <w:color w:val="000000"/>
          <w:kern w:val="2"/>
          <w:sz w:val="18"/>
        </w:rPr>
        <w:t>Описание и работа</w:t>
      </w:r>
    </w:p>
    <w:p>
      <w:pPr>
        <w:pStyle w:val="Normal"/>
        <w:widowControl w:val="false"/>
        <w:numPr>
          <w:ilvl w:val="1"/>
          <w:numId w:val="1"/>
        </w:numPr>
        <w:shd w:val="clear" w:color="auto" w:fill="FFFFFF"/>
        <w:tabs>
          <w:tab w:val="clear" w:pos="708"/>
          <w:tab w:val="left" w:pos="727" w:leader="none"/>
        </w:tabs>
        <w:spacing w:before="2" w:after="120"/>
        <w:ind w:left="0" w:hanging="0"/>
        <w:jc w:val="center"/>
        <w:rPr>
          <w:rFonts w:ascii="Tahoma" w:hAnsi="Tahoma" w:cs="Tahoma"/>
          <w:b/>
          <w:b/>
          <w:bCs/>
          <w:color w:val="000000"/>
          <w:kern w:val="2"/>
          <w:sz w:val="18"/>
        </w:rPr>
      </w:pPr>
      <w:r>
        <w:rPr>
          <w:rFonts w:cs="Tahoma" w:ascii="Tahoma" w:hAnsi="Tahoma"/>
          <w:b/>
          <w:bCs/>
          <w:color w:val="000000"/>
          <w:kern w:val="2"/>
          <w:sz w:val="18"/>
        </w:rPr>
        <w:t>Назначение изделия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Тележка ручная гидравлическая предназначена для транспортировки груза, паллетированного или упакованного на поддоны, с помощью ручного управления. Использование тележки предусматривает работу на ровных и твердых поверхностях.  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drawing>
          <wp:anchor behindDoc="0" distT="0" distB="0" distL="0" distR="0" simplePos="0" locked="0" layoutInCell="1" allowOverlap="1" relativeHeight="2">
            <wp:simplePos x="0" y="0"/>
            <wp:positionH relativeFrom="margin">
              <wp:align>center</wp:align>
            </wp:positionH>
            <wp:positionV relativeFrom="paragraph">
              <wp:posOffset>72390</wp:posOffset>
            </wp:positionV>
            <wp:extent cx="1810385" cy="1751965"/>
            <wp:effectExtent l="0" t="0" r="0" b="0"/>
            <wp:wrapNone/>
            <wp:docPr id="3" name="Рисунок 11" descr="рохля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1" descr="рохля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385" cy="1751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spacing w:before="120" w:after="12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  <w:t>1.2. Технические характеристики</w:t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65"/>
        <w:gridCol w:w="589"/>
        <w:gridCol w:w="535"/>
        <w:gridCol w:w="545"/>
        <w:gridCol w:w="567"/>
        <w:gridCol w:w="623"/>
        <w:gridCol w:w="565"/>
        <w:gridCol w:w="1352"/>
        <w:gridCol w:w="803"/>
        <w:gridCol w:w="783"/>
      </w:tblGrid>
      <w:tr>
        <w:trPr>
          <w:trHeight w:val="1538" w:hRule="atLeast"/>
          <w:cantSplit w:val="true"/>
        </w:trPr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Артикул</w:t>
            </w:r>
          </w:p>
        </w:tc>
        <w:tc>
          <w:tcPr>
            <w:tcW w:w="5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Г/п, кг</w:t>
            </w:r>
          </w:p>
        </w:tc>
        <w:tc>
          <w:tcPr>
            <w:tcW w:w="5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Длина вил, мм</w:t>
            </w:r>
          </w:p>
        </w:tc>
        <w:tc>
          <w:tcPr>
            <w:tcW w:w="54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Ширина вил, мм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Н подхвата, мм</w:t>
            </w:r>
          </w:p>
        </w:tc>
        <w:tc>
          <w:tcPr>
            <w:tcW w:w="6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Н подъема, мм</w:t>
            </w:r>
          </w:p>
        </w:tc>
        <w:tc>
          <w:tcPr>
            <w:tcW w:w="5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Масса, кг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Габариты, мм</w:t>
            </w:r>
          </w:p>
        </w:tc>
        <w:tc>
          <w:tcPr>
            <w:tcW w:w="8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Тип</w:t>
            </w:r>
          </w:p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7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textDirection w:val="btLr"/>
            <w:vAlign w:val="center"/>
          </w:tcPr>
          <w:p>
            <w:pPr>
              <w:pStyle w:val="Normal"/>
              <w:ind w:left="113" w:right="113" w:hanging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Колесо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118205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210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1530х540х1220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CBY-JC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11820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210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1530х540х1220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CBY-DF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118258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70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1530х550х870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CBY-SD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118255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210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84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1530х540х1220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CBY-DF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210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84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1530х540х1220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CBY-AC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1182512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210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84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1530х540х1220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CBY-DFR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резина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1180259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175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1530х550х1220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CBY-ACL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>
              <w:rPr>
                <w:rFonts w:cs="Tahoma" w:ascii="Tahoma" w:hAnsi="Tahoma"/>
                <w:color w:val="000000"/>
                <w:sz w:val="16"/>
                <w:szCs w:val="16"/>
              </w:rPr>
              <w:t>11802529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175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1530х1150х1220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CBY-ZT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color w:val="000000"/>
                <w:sz w:val="16"/>
                <w:szCs w:val="16"/>
              </w:rPr>
            </w:pPr>
            <w:r>
              <w:rPr>
                <w:rFonts w:cs="Tahoma" w:ascii="Tahoma" w:hAnsi="Tahoma"/>
                <w:color w:val="000000"/>
                <w:sz w:val="16"/>
                <w:szCs w:val="16"/>
              </w:rPr>
              <w:t>1182529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175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1530х1150х920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CBY-ZT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118257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1500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110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1530х550х1570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CBY-LC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1182510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1800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1530х550х1870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CBY-LC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118256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2500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2000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1530х550х2070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CBY-LC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118259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3000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175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95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1530х550х1220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CBY-AC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  <w:tr>
        <w:trPr>
          <w:trHeight w:val="255" w:hRule="atLeast"/>
        </w:trPr>
        <w:tc>
          <w:tcPr>
            <w:tcW w:w="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118509</w:t>
            </w:r>
          </w:p>
        </w:tc>
        <w:tc>
          <w:tcPr>
            <w:tcW w:w="589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5000</w:t>
            </w:r>
          </w:p>
        </w:tc>
        <w:tc>
          <w:tcPr>
            <w:tcW w:w="53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1150</w:t>
            </w:r>
          </w:p>
        </w:tc>
        <w:tc>
          <w:tcPr>
            <w:tcW w:w="54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550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85</w:t>
            </w:r>
          </w:p>
        </w:tc>
        <w:tc>
          <w:tcPr>
            <w:tcW w:w="62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195</w:t>
            </w:r>
          </w:p>
        </w:tc>
        <w:tc>
          <w:tcPr>
            <w:tcW w:w="565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150</w:t>
            </w:r>
          </w:p>
        </w:tc>
        <w:tc>
          <w:tcPr>
            <w:tcW w:w="13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1530х550х1220</w:t>
            </w:r>
          </w:p>
        </w:tc>
        <w:tc>
          <w:tcPr>
            <w:tcW w:w="80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CBY-AC</w:t>
            </w:r>
          </w:p>
        </w:tc>
        <w:tc>
          <w:tcPr>
            <w:tcW w:w="783" w:type="dxa"/>
            <w:tcBorders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полиур.</w:t>
            </w:r>
          </w:p>
        </w:tc>
      </w:tr>
    </w:tbl>
    <w:p>
      <w:pPr>
        <w:pStyle w:val="Normal"/>
        <w:jc w:val="center"/>
        <w:rPr>
          <w:rFonts w:ascii="Tahoma" w:hAnsi="Tahoma" w:cs="Tahoma"/>
          <w:b/>
          <w:b/>
          <w:sz w:val="10"/>
          <w:szCs w:val="16"/>
        </w:rPr>
      </w:pPr>
      <w:r>
        <w:rPr>
          <w:rFonts w:cs="Tahoma" w:ascii="Tahoma" w:hAnsi="Tahoma"/>
          <w:b/>
          <w:sz w:val="10"/>
          <w:szCs w:val="16"/>
        </w:rPr>
      </w:r>
    </w:p>
    <w:p>
      <w:pPr>
        <w:pStyle w:val="Normal"/>
        <w:jc w:val="center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jc w:val="center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jc w:val="center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Дата продажи:                               МП:                            Кол-во:           шт</w:t>
      </w:r>
    </w:p>
    <w:p>
      <w:pPr>
        <w:pStyle w:val="Normal"/>
        <w:jc w:val="center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  <w:t>2. Устройство и принцип работы</w:t>
      </w:r>
    </w:p>
    <w:p>
      <w:pPr>
        <w:pStyle w:val="Normal"/>
        <w:rPr>
          <w:rFonts w:ascii="Tahoma" w:hAnsi="Tahoma" w:cs="Tahoma"/>
          <w:sz w:val="10"/>
          <w:szCs w:val="16"/>
        </w:rPr>
      </w:pPr>
      <w:r>
        <w:rPr>
          <w:rFonts w:cs="Tahoma" w:ascii="Tahoma" w:hAnsi="Tahoma"/>
          <w:sz w:val="10"/>
          <w:szCs w:val="16"/>
        </w:rPr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2.1. Тележка ручная гидравлическая представляет собой устройство, состоящее из вилочной металлической конструкции, оснащенной колесами для ее перемещения, ручки управления процессом подъема и перемещения, гидравлического узла, обеспечивающего усилие при подъеме груза. 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2.2. Управление подъемом и перемещением тележки происходит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вручную. При этом горизонтальное перемещение достигается при ручной тяге ручки в нужную сторону, а подъемом – при маятниковом движении ручки. Спуск осуществляется нажатием рычага ручки.   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2.3. Гидравлический узел расположен на поворотной паре колес, с помощью которых можно свободно ориентировать тележку в пространстве. Рычаг соединен с гидравлическим узлом тележки. </w:t>
      </w:r>
    </w:p>
    <w:p>
      <w:pPr>
        <w:pStyle w:val="Normal"/>
        <w:rPr>
          <w:rFonts w:ascii="Tahoma" w:hAnsi="Tahoma" w:cs="Tahoma"/>
          <w:sz w:val="10"/>
          <w:szCs w:val="16"/>
        </w:rPr>
      </w:pPr>
      <w:r>
        <w:rPr>
          <w:rFonts w:cs="Tahoma" w:ascii="Tahoma" w:hAnsi="Tahoma"/>
          <w:sz w:val="10"/>
          <w:szCs w:val="16"/>
        </w:rPr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426" w:leader="none"/>
        </w:tabs>
        <w:ind w:left="0" w:hanging="0"/>
        <w:jc w:val="center"/>
        <w:rPr>
          <w:rFonts w:ascii="Tahoma" w:hAnsi="Tahoma" w:cs="Tahoma"/>
          <w:b/>
          <w:b/>
          <w:sz w:val="18"/>
          <w:lang w:val="en-US"/>
        </w:rPr>
      </w:pPr>
      <w:r>
        <w:rPr>
          <w:rFonts w:cs="Tahoma" w:ascii="Tahoma" w:hAnsi="Tahoma"/>
          <w:b/>
          <w:sz w:val="18"/>
        </w:rPr>
        <w:t xml:space="preserve">Подготовка </w:t>
      </w:r>
      <w:r>
        <w:rPr>
          <w:rFonts w:cs="Tahoma" w:ascii="Tahoma" w:hAnsi="Tahoma"/>
          <w:b/>
          <w:sz w:val="18"/>
          <w:lang w:val="en-US"/>
        </w:rPr>
        <w:t xml:space="preserve">и </w:t>
      </w:r>
      <w:r>
        <w:rPr>
          <w:rFonts w:cs="Tahoma" w:ascii="Tahoma" w:hAnsi="Tahoma"/>
          <w:b/>
          <w:sz w:val="18"/>
        </w:rPr>
        <w:t>порядок работы</w:t>
      </w:r>
    </w:p>
    <w:p>
      <w:pPr>
        <w:pStyle w:val="Normal"/>
        <w:numPr>
          <w:ilvl w:val="1"/>
          <w:numId w:val="2"/>
        </w:numPr>
        <w:ind w:left="0" w:hanging="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  <w:t>Подготовка к работе</w:t>
      </w:r>
    </w:p>
    <w:p>
      <w:pPr>
        <w:pStyle w:val="Normal"/>
        <w:rPr>
          <w:rFonts w:ascii="Tahoma" w:hAnsi="Tahoma" w:cs="Tahoma"/>
          <w:sz w:val="10"/>
          <w:szCs w:val="16"/>
        </w:rPr>
      </w:pPr>
      <w:r>
        <w:rPr>
          <w:rFonts w:cs="Tahoma" w:ascii="Tahoma" w:hAnsi="Tahoma"/>
          <w:sz w:val="10"/>
          <w:szCs w:val="16"/>
        </w:rPr>
      </w:r>
    </w:p>
    <w:p>
      <w:pPr>
        <w:pStyle w:val="Normal"/>
        <w:tabs>
          <w:tab w:val="clear" w:pos="708"/>
          <w:tab w:val="left" w:pos="426" w:leader="none"/>
        </w:tabs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3.1.1. Распакуйте тележку.</w:t>
      </w:r>
    </w:p>
    <w:p>
      <w:pPr>
        <w:pStyle w:val="Normal"/>
        <w:tabs>
          <w:tab w:val="clear" w:pos="708"/>
          <w:tab w:val="left" w:pos="426" w:leader="none"/>
        </w:tabs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3.1.2. Соедините ручку тележки с гидравлическим узлом.</w:t>
      </w:r>
    </w:p>
    <w:p>
      <w:pPr>
        <w:pStyle w:val="Normal"/>
        <w:tabs>
          <w:tab w:val="clear" w:pos="708"/>
          <w:tab w:val="left" w:pos="426" w:leader="none"/>
        </w:tabs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3.1.3. Установите тележку на ровную твердую поверхность.</w:t>
      </w:r>
    </w:p>
    <w:p>
      <w:pPr>
        <w:pStyle w:val="Normal"/>
        <w:tabs>
          <w:tab w:val="clear" w:pos="708"/>
          <w:tab w:val="left" w:pos="426" w:leader="none"/>
        </w:tabs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3.1.4. Проведите техническое освидетельствование с целью установления: </w:t>
      </w:r>
    </w:p>
    <w:p>
      <w:pPr>
        <w:pStyle w:val="Normal"/>
        <w:ind w:firstLine="1134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- соответствия комплектности тележки технической документации, </w:t>
      </w:r>
    </w:p>
    <w:p>
      <w:pPr>
        <w:pStyle w:val="Normal"/>
        <w:ind w:firstLine="1134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- исправного состояния тележки. </w:t>
      </w:r>
    </w:p>
    <w:p>
      <w:pPr>
        <w:pStyle w:val="Normal"/>
        <w:tabs>
          <w:tab w:val="clear" w:pos="708"/>
          <w:tab w:val="left" w:pos="426" w:leader="none"/>
        </w:tabs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3.1.5. Проверьте работу тележки вхолостую, подняв на полную высоту и попробовав ее переместить (2 раза).</w:t>
      </w:r>
    </w:p>
    <w:p>
      <w:pPr>
        <w:pStyle w:val="Normal"/>
        <w:tabs>
          <w:tab w:val="clear" w:pos="708"/>
          <w:tab w:val="left" w:pos="426" w:leader="none"/>
        </w:tabs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3.1.6. Проверьте исправность механизма спуска (нажав рычаг управления).</w:t>
      </w:r>
    </w:p>
    <w:p>
      <w:pPr>
        <w:pStyle w:val="Normal"/>
        <w:rPr>
          <w:rFonts w:ascii="Tahoma" w:hAnsi="Tahoma" w:cs="Tahoma"/>
          <w:sz w:val="10"/>
          <w:szCs w:val="16"/>
        </w:rPr>
      </w:pPr>
      <w:r>
        <w:rPr>
          <w:rFonts w:cs="Tahoma" w:ascii="Tahoma" w:hAnsi="Tahoma"/>
          <w:sz w:val="10"/>
          <w:szCs w:val="16"/>
        </w:rPr>
      </w:r>
    </w:p>
    <w:p>
      <w:pPr>
        <w:pStyle w:val="Normal"/>
        <w:numPr>
          <w:ilvl w:val="1"/>
          <w:numId w:val="2"/>
        </w:numPr>
        <w:ind w:left="0" w:hanging="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  <w:t>Порядок работы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drawing>
          <wp:anchor behindDoc="0" distT="0" distB="0" distL="114300" distR="114300" simplePos="0" locked="0" layoutInCell="1" allowOverlap="1" relativeHeight="3">
            <wp:simplePos x="0" y="0"/>
            <wp:positionH relativeFrom="column">
              <wp:posOffset>1901825</wp:posOffset>
            </wp:positionH>
            <wp:positionV relativeFrom="paragraph">
              <wp:posOffset>63500</wp:posOffset>
            </wp:positionV>
            <wp:extent cx="2606675" cy="1547495"/>
            <wp:effectExtent l="0" t="0" r="0" b="0"/>
            <wp:wrapSquare wrapText="bothSides"/>
            <wp:docPr id="4" name="Рисунок 12" descr="рохля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2" descr="рохля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675" cy="1547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sz w:val="18"/>
        </w:rPr>
        <w:t>3</w:t>
      </w:r>
      <w:r>
        <w:rPr>
          <w:rFonts w:cs="Tahoma" w:ascii="Tahoma" w:hAnsi="Tahoma"/>
          <w:sz w:val="18"/>
        </w:rPr>
        <w:t>.2.1. Перед началом работы убедитесь, что тележка стоит на ровной твердой поверхности, а перемещаемый груз складирован на исправном поддоне.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3.2.2. Для перемещения груза заведите рабочие вилы тележки под поддон соответствующим образом, переведите рычаг управления в положение подъема (от себя до упора).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3.2.3. Возвратно-поступательным движением ручки, соединенной с гидравлическим узлом, приподнимите рабочими вилами паллетированный груз на небольшую высоту для проверки исправности подъемного механизма.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3.2.4. Убедившись, что тележка функционирует исправно, продолжайте подъем груза до нужной высоты. 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3.2.5. Для перемещения тележки переведите рычаг управления в нейтральное (среднее) положение.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3.2.6. После этого тележку с грузом можно свободно перемещать на необходимое расстояние, а также ориентировать в пространстве с помощью силы, приложенной к ее ручке.  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3.2.7. Для спуска груза и освобождения тележки удерживайте рычаг в положении спуска (к себе до упора). При этом рабочие вилы должны опуститься в крайнее нижнее положение и избавиться от контакта с поддоном (грузом).  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3.2.8. После этого тележка будет готова к следующей транспортной операции. 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284" w:leader="none"/>
        </w:tabs>
        <w:ind w:left="0" w:hanging="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  <w:t xml:space="preserve"> </w:t>
      </w:r>
      <w:r>
        <w:rPr>
          <w:rFonts w:cs="Tahoma" w:ascii="Tahoma" w:hAnsi="Tahoma"/>
          <w:b/>
          <w:sz w:val="18"/>
        </w:rPr>
        <w:t>Меры безопасности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4.1. Тележка должна эксплуатироваться в строгом соответствии со своими паспортным данными и предусмотренным порядком работы. 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drawing>
          <wp:anchor behindDoc="0" distT="0" distB="0" distL="0" distR="0" simplePos="0" locked="0" layoutInCell="1" allowOverlap="1" relativeHeight="6">
            <wp:simplePos x="0" y="0"/>
            <wp:positionH relativeFrom="column">
              <wp:posOffset>43815</wp:posOffset>
            </wp:positionH>
            <wp:positionV relativeFrom="paragraph">
              <wp:posOffset>198755</wp:posOffset>
            </wp:positionV>
            <wp:extent cx="584200" cy="519430"/>
            <wp:effectExtent l="0" t="0" r="0" b="0"/>
            <wp:wrapNone/>
            <wp:docPr id="5" name="Рисунок 20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20" descr="ACHTUNG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sz w:val="18"/>
        </w:rPr>
        <w:t>4</w:t>
      </w:r>
      <w:r>
        <w:rPr>
          <w:rFonts w:cs="Tahoma" w:ascii="Tahoma" w:hAnsi="Tahoma"/>
          <w:sz w:val="18"/>
        </w:rPr>
        <w:t>.2. Эксплуатация и обслуживание выполняются только квалифицированным персоналом.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4.3. Запрещается оставлять груз в поднятом положении без присмотра.  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4.4. Запрещается перевозка людей.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4.5. Не допускается перегруз тележки, перевозка двух и более поддонов.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4.6. Груз должен равномерно распределяться по длине вил.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4.7. Необходимо соблюдать схему надлежащей погрузки тележки, согласно рисунку 1.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4.8. Запрещается работать на наклонной поверхности.</w:t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drawing>
          <wp:anchor behindDoc="0" distT="0" distB="0" distL="0" distR="0" simplePos="0" locked="0" layoutInCell="1" allowOverlap="1" relativeHeight="4">
            <wp:simplePos x="0" y="0"/>
            <wp:positionH relativeFrom="column">
              <wp:posOffset>1421765</wp:posOffset>
            </wp:positionH>
            <wp:positionV relativeFrom="paragraph">
              <wp:posOffset>57150</wp:posOffset>
            </wp:positionV>
            <wp:extent cx="1985645" cy="1544320"/>
            <wp:effectExtent l="0" t="0" r="0" b="0"/>
            <wp:wrapNone/>
            <wp:docPr id="6" name="Рисунок 13" descr="рохля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13" descr="рохля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5645" cy="1544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ind w:left="1134" w:hanging="0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jc w:val="center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Рис.1. Схема погрузки груза на тележку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284" w:leader="none"/>
        </w:tabs>
        <w:ind w:left="0" w:hanging="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  <w:t xml:space="preserve"> </w:t>
      </w:r>
      <w:r>
        <w:rPr>
          <w:rFonts w:cs="Tahoma" w:ascii="Tahoma" w:hAnsi="Tahoma"/>
          <w:b/>
          <w:sz w:val="18"/>
        </w:rPr>
        <w:t>Техническое обслуживание</w:t>
      </w:r>
    </w:p>
    <w:p>
      <w:pPr>
        <w:pStyle w:val="Normal"/>
        <w:tabs>
          <w:tab w:val="clear" w:pos="708"/>
          <w:tab w:val="left" w:pos="284" w:leader="none"/>
        </w:tabs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5.1. Обслуживание и ремонт тележек должны проводиться квалифицированным персоналом.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5.2. Ежедневное техническое облуживание состоит в проверке исправности вил и транспортных роликов, осей.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5.3. Ежемесячное техническое обслуживание заключается в смазке основных узлов тележки, проверке исправности колес.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5.4. Раз в три месяца необходимо проверять: уровень масла при опущенных вилах, герметичность гидравлического узла, прочность винтовых и болтовых соединений, способность свободного поворота ручки управления.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5.5. Ежегодное обслуживание заключается в проверке износа важнейших узлов тележки и их замене в случае необходимости, замене гидравлического масла, проведении испытания работоспособности тележки.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5.6. Рекомендуемые смазочные материалы и гидравлическое масло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- Универсальная густая смазка </w:t>
      </w:r>
      <w:r>
        <w:rPr>
          <w:rFonts w:cs="Tahoma" w:ascii="Tahoma" w:hAnsi="Tahoma"/>
          <w:sz w:val="18"/>
          <w:lang w:val="en-US"/>
        </w:rPr>
        <w:t>DIN</w:t>
      </w:r>
      <w:r>
        <w:rPr>
          <w:rFonts w:cs="Tahoma" w:ascii="Tahoma" w:hAnsi="Tahoma"/>
          <w:sz w:val="18"/>
        </w:rPr>
        <w:t xml:space="preserve"> 51825 </w:t>
      </w:r>
      <w:r>
        <w:rPr>
          <w:rFonts w:cs="Tahoma" w:ascii="Tahoma" w:hAnsi="Tahoma"/>
          <w:sz w:val="18"/>
          <w:lang w:val="en-US"/>
        </w:rPr>
        <w:t>T</w:t>
      </w:r>
      <w:r>
        <w:rPr>
          <w:rFonts w:cs="Tahoma" w:ascii="Tahoma" w:hAnsi="Tahoma"/>
          <w:sz w:val="18"/>
        </w:rPr>
        <w:t>1-</w:t>
      </w:r>
      <w:r>
        <w:rPr>
          <w:rFonts w:cs="Tahoma" w:ascii="Tahoma" w:hAnsi="Tahoma"/>
          <w:sz w:val="18"/>
          <w:lang w:val="en-US"/>
        </w:rPr>
        <w:t>K</w:t>
      </w:r>
      <w:r>
        <w:rPr>
          <w:rFonts w:cs="Tahoma" w:ascii="Tahoma" w:hAnsi="Tahoma"/>
          <w:sz w:val="18"/>
        </w:rPr>
        <w:t>2</w:t>
      </w:r>
      <w:r>
        <w:rPr>
          <w:rFonts w:cs="Tahoma" w:ascii="Tahoma" w:hAnsi="Tahoma"/>
          <w:sz w:val="18"/>
          <w:lang w:val="en-US"/>
        </w:rPr>
        <w:t>K</w:t>
      </w:r>
      <w:r>
        <w:rPr>
          <w:rFonts w:cs="Tahoma" w:ascii="Tahoma" w:hAnsi="Tahoma"/>
          <w:sz w:val="18"/>
        </w:rPr>
        <w:t xml:space="preserve"> или аналоги.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- Гидравлическая жидкость </w:t>
      </w:r>
      <w:r>
        <w:rPr>
          <w:rFonts w:cs="Tahoma" w:ascii="Tahoma" w:hAnsi="Tahoma"/>
          <w:sz w:val="18"/>
          <w:lang w:val="en-US"/>
        </w:rPr>
        <w:t>HLD</w:t>
      </w:r>
      <w:r>
        <w:rPr>
          <w:rFonts w:cs="Tahoma" w:ascii="Tahoma" w:hAnsi="Tahoma"/>
          <w:sz w:val="18"/>
        </w:rPr>
        <w:t>-</w:t>
      </w:r>
      <w:r>
        <w:rPr>
          <w:rFonts w:cs="Tahoma" w:ascii="Tahoma" w:hAnsi="Tahoma"/>
          <w:sz w:val="18"/>
          <w:lang w:val="en-US"/>
        </w:rPr>
        <w:t>DIN</w:t>
      </w:r>
      <w:r>
        <w:rPr>
          <w:rFonts w:cs="Tahoma" w:ascii="Tahoma" w:hAnsi="Tahoma"/>
          <w:sz w:val="18"/>
        </w:rPr>
        <w:t xml:space="preserve"> 51524 </w:t>
      </w:r>
      <w:r>
        <w:rPr>
          <w:rFonts w:cs="Tahoma" w:ascii="Tahoma" w:hAnsi="Tahoma"/>
          <w:sz w:val="18"/>
          <w:lang w:val="en-US"/>
        </w:rPr>
        <w:t>T</w:t>
      </w:r>
      <w:r>
        <w:rPr>
          <w:rFonts w:cs="Tahoma" w:ascii="Tahoma" w:hAnsi="Tahoma"/>
          <w:sz w:val="18"/>
        </w:rPr>
        <w:t xml:space="preserve">2 </w:t>
      </w:r>
      <w:r>
        <w:rPr>
          <w:rFonts w:cs="Tahoma" w:ascii="Tahoma" w:hAnsi="Tahoma"/>
          <w:sz w:val="18"/>
          <w:lang w:val="en-US"/>
        </w:rPr>
        <w:t>ISO</w:t>
      </w:r>
      <w:r>
        <w:rPr>
          <w:rFonts w:cs="Tahoma" w:ascii="Tahoma" w:hAnsi="Tahoma"/>
          <w:sz w:val="18"/>
        </w:rPr>
        <w:t xml:space="preserve"> </w:t>
      </w:r>
      <w:r>
        <w:rPr>
          <w:rFonts w:cs="Tahoma" w:ascii="Tahoma" w:hAnsi="Tahoma"/>
          <w:sz w:val="18"/>
          <w:lang w:val="en-US"/>
        </w:rPr>
        <w:t>VG</w:t>
      </w:r>
      <w:r>
        <w:rPr>
          <w:rFonts w:cs="Tahoma" w:ascii="Tahoma" w:hAnsi="Tahoma"/>
          <w:sz w:val="18"/>
        </w:rPr>
        <w:t xml:space="preserve"> 22 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284" w:leader="none"/>
        </w:tabs>
        <w:ind w:left="0" w:hanging="0"/>
        <w:jc w:val="center"/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  <w:t xml:space="preserve"> </w:t>
      </w:r>
      <w:r>
        <w:rPr>
          <w:rFonts w:cs="Tahoma" w:ascii="Tahoma" w:hAnsi="Tahoma"/>
          <w:b/>
          <w:sz w:val="18"/>
        </w:rPr>
        <w:t>Гарантийные обязательства</w:t>
      </w:r>
    </w:p>
    <w:p>
      <w:pPr>
        <w:pStyle w:val="Normal"/>
        <w:tabs>
          <w:tab w:val="clear" w:pos="708"/>
          <w:tab w:val="left" w:pos="284" w:leader="none"/>
        </w:tabs>
        <w:rPr>
          <w:rFonts w:ascii="Tahoma" w:hAnsi="Tahoma" w:cs="Tahoma"/>
          <w:b/>
          <w:b/>
          <w:sz w:val="18"/>
        </w:rPr>
      </w:pPr>
      <w:r>
        <w:rPr>
          <w:rFonts w:cs="Tahoma" w:ascii="Tahoma" w:hAnsi="Tahoma"/>
          <w:b/>
          <w:sz w:val="18"/>
        </w:rPr>
      </w:r>
    </w:p>
    <w:p>
      <w:pPr>
        <w:pStyle w:val="Normal"/>
        <w:widowControl w:val="false"/>
        <w:shd w:val="clear" w:color="auto" w:fill="FFFFFF"/>
        <w:spacing w:before="2" w:after="0"/>
        <w:ind w:firstLine="709"/>
        <w:jc w:val="both"/>
        <w:rPr>
          <w:rFonts w:ascii="Tahoma" w:hAnsi="Tahoma" w:cs="Tahoma"/>
          <w:color w:val="000000"/>
          <w:spacing w:val="-7"/>
          <w:sz w:val="18"/>
        </w:rPr>
      </w:pPr>
      <w:r>
        <w:rPr>
          <w:rFonts w:cs="Tahoma" w:ascii="Tahoma" w:hAnsi="Tahoma"/>
          <w:color w:val="000000"/>
          <w:spacing w:val="-7"/>
          <w:sz w:val="18"/>
        </w:rPr>
        <w:t xml:space="preserve">6.1. Гарантия не распространяется на повреждения, возникшие в результате естественного износа, плохого ухода, неправильного использования или небрежного обращения, а также являющиеся следствием несанкционированного вмешательства в устройство изделия лиц, не имеющих специального разрешения на проведение ремонта. </w:t>
      </w:r>
    </w:p>
    <w:p>
      <w:pPr>
        <w:pStyle w:val="Normal"/>
        <w:widowControl w:val="false"/>
        <w:shd w:val="clear" w:color="auto" w:fill="FFFFFF"/>
        <w:spacing w:before="2" w:after="0"/>
        <w:jc w:val="both"/>
        <w:rPr>
          <w:rFonts w:ascii="Tahoma" w:hAnsi="Tahoma" w:cs="Tahoma"/>
          <w:color w:val="000000"/>
          <w:spacing w:val="-7"/>
          <w:sz w:val="18"/>
        </w:rPr>
      </w:pPr>
      <w:r>
        <w:rPr>
          <w:rFonts w:cs="Tahoma" w:ascii="Tahoma" w:hAnsi="Tahoma"/>
          <w:color w:val="000000"/>
          <w:spacing w:val="-7"/>
          <w:sz w:val="18"/>
        </w:rPr>
        <w:t>В целях определения причин отказа и/или характера повреждений изделия производиться техническая экспертиза сроком 10 рабочих дней. По результатам экспертизы принимается решение о замене/ремонте изделия. При этом изделие принимается на экспертизу только при наличии паспорта с отметкой о дате продажи и штампом организации-продавца.</w:t>
      </w:r>
    </w:p>
    <w:p>
      <w:pPr>
        <w:pStyle w:val="Normal"/>
        <w:ind w:firstLine="709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6.2. Гарантийный срок эксплуатации составляет 12 месяцев со дня продажи конечному потребителю, при условии соблюдения им требований технического обслуживания и отсутствии принудительных механических повреждений.</w:t>
      </w:r>
    </w:p>
    <w:p>
      <w:pPr>
        <w:pStyle w:val="Normal"/>
        <w:ind w:firstLine="709"/>
        <w:jc w:val="both"/>
        <w:rPr/>
      </w:pPr>
      <w:r>
        <w:rPr>
          <w:rFonts w:cs="Tahoma" w:ascii="Tahoma" w:hAnsi="Tahoma"/>
          <w:sz w:val="18"/>
        </w:rPr>
        <w:t>6.3. Срок длительного хранения – 3 года со дня изготовления.</w:t>
      </w:r>
    </w:p>
    <w:sectPr>
      <w:footerReference w:type="default" r:id="rId8"/>
      <w:type w:val="nextPage"/>
      <w:pgSz w:orient="landscape" w:w="8419" w:h="11906"/>
      <w:pgMar w:left="737" w:right="454" w:header="0" w:top="567" w:footer="266" w:bottom="567" w:gutter="0"/>
      <w:pgNumType w:start="0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jc w:val="center"/>
      <w:rPr/>
    </w:pPr>
    <w:r>
      <w:rPr>
        <w:sz w:val="18"/>
      </w:rPr>
      <w:fldChar w:fldCharType="begin"/>
    </w:r>
    <w:r>
      <w:rPr>
        <w:sz w:val="18"/>
      </w:rPr>
      <w:instrText> PAGE </w:instrText>
    </w:r>
    <w:r>
      <w:rPr>
        <w:sz w:val="18"/>
      </w:rPr>
      <w:fldChar w:fldCharType="separate"/>
    </w:r>
    <w:r>
      <w:rPr>
        <w:sz w:val="18"/>
      </w:rPr>
      <w:t>4</w:t>
    </w:r>
    <w:r>
      <w:rPr>
        <w:sz w:val="18"/>
      </w:rPr>
      <w:fldChar w:fldCharType="end"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510" w:hanging="510"/>
      </w:pPr>
      <w:rPr>
        <w:sz w:val="18"/>
        <w:b/>
        <w:rFonts w:ascii="Tahoma" w:hAnsi="Tahoma"/>
        <w:color w:val="auto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sz w:val="18"/>
        <w:b/>
        <w:rFonts w:ascii="Tahoma" w:hAnsi="Tahoma"/>
        <w:color w:val="auto"/>
      </w:rPr>
    </w:lvl>
    <w:lvl w:ilvl="2">
      <w:start w:val="1"/>
      <w:numFmt w:val="decimal"/>
      <w:lvlText w:val="%1.%2.%3."/>
      <w:lvlJc w:val="left"/>
      <w:pPr>
        <w:ind w:left="1800" w:hanging="1080"/>
      </w:pPr>
      <w:rPr>
        <w:sz w:val="22"/>
        <w:color w:val="auto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sz w:val="22"/>
        <w:color w:val="auto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sz w:val="22"/>
        <w:color w:val="auto"/>
      </w:rPr>
    </w:lvl>
    <w:lvl w:ilvl="5">
      <w:start w:val="1"/>
      <w:numFmt w:val="decimal"/>
      <w:lvlText w:val="%1.%2.%3.%4.%5.%6."/>
      <w:lvlJc w:val="left"/>
      <w:pPr>
        <w:ind w:left="3600" w:hanging="1800"/>
      </w:pPr>
      <w:rPr>
        <w:sz w:val="22"/>
        <w:color w:val="auto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sz w:val="22"/>
        <w:color w:val="auto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sz w:val="22"/>
        <w:color w:val="auto"/>
      </w:rPr>
    </w:lvl>
    <w:lvl w:ilvl="8">
      <w:start w:val="1"/>
      <w:numFmt w:val="decimal"/>
      <w:lvlText w:val="%1.%2.%3.%4.%5.%6.%7.%8.%9."/>
      <w:lvlJc w:val="left"/>
      <w:pPr>
        <w:ind w:left="5400" w:hanging="2520"/>
      </w:pPr>
      <w:rPr>
        <w:sz w:val="22"/>
        <w:color w:val="auto"/>
      </w:rPr>
    </w:lvl>
  </w:abstractNum>
  <w:abstractNum w:abstractNumId="2"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230" w:hanging="720"/>
      </w:pPr>
    </w:lvl>
    <w:lvl w:ilvl="2">
      <w:start w:val="1"/>
      <w:numFmt w:val="decimal"/>
      <w:lvlText w:val="%1.%2.%3."/>
      <w:lvlJc w:val="left"/>
      <w:pPr>
        <w:ind w:left="1740" w:hanging="1080"/>
      </w:pPr>
    </w:lvl>
    <w:lvl w:ilvl="3">
      <w:start w:val="1"/>
      <w:numFmt w:val="decimal"/>
      <w:lvlText w:val="%1.%2.%3.%4."/>
      <w:lvlJc w:val="left"/>
      <w:pPr>
        <w:ind w:left="2250" w:hanging="1440"/>
      </w:pPr>
    </w:lvl>
    <w:lvl w:ilvl="4">
      <w:start w:val="1"/>
      <w:numFmt w:val="decimal"/>
      <w:lvlText w:val="%1.%2.%3.%4.%5."/>
      <w:lvlJc w:val="left"/>
      <w:pPr>
        <w:ind w:left="2400" w:hanging="1440"/>
      </w:pPr>
    </w:lvl>
    <w:lvl w:ilvl="5">
      <w:start w:val="1"/>
      <w:numFmt w:val="decimal"/>
      <w:lvlText w:val="%1.%2.%3.%4.%5.%6."/>
      <w:lvlJc w:val="left"/>
      <w:pPr>
        <w:ind w:left="2910" w:hanging="1800"/>
      </w:pPr>
    </w:lvl>
    <w:lvl w:ilvl="6">
      <w:start w:val="1"/>
      <w:numFmt w:val="decimal"/>
      <w:lvlText w:val="%1.%2.%3.%4.%5.%6.%7."/>
      <w:lvlJc w:val="left"/>
      <w:pPr>
        <w:ind w:left="3420" w:hanging="2160"/>
      </w:pPr>
    </w:lvl>
    <w:lvl w:ilvl="7">
      <w:start w:val="1"/>
      <w:numFmt w:val="decimal"/>
      <w:lvlText w:val="%1.%2.%3.%4.%5.%6.%7.%8."/>
      <w:lvlJc w:val="left"/>
      <w:pPr>
        <w:ind w:left="3930" w:hanging="2520"/>
      </w:pPr>
    </w:lvl>
    <w:lvl w:ilvl="8">
      <w:start w:val="1"/>
      <w:numFmt w:val="decimal"/>
      <w:lvlText w:val="%1.%2.%3.%4.%5.%6.%7.%8.%9."/>
      <w:lvlJc w:val="left"/>
      <w:pPr>
        <w:ind w:left="4080" w:hanging="252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4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d33c4a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link w:val="a4"/>
    <w:qFormat/>
    <w:rsid w:val="00a258ed"/>
    <w:rPr>
      <w:sz w:val="24"/>
      <w:szCs w:val="24"/>
    </w:rPr>
  </w:style>
  <w:style w:type="character" w:styleId="Style15" w:customStyle="1">
    <w:name w:val="Нижний колонтитул Знак"/>
    <w:link w:val="a6"/>
    <w:uiPriority w:val="99"/>
    <w:qFormat/>
    <w:rsid w:val="00a258ed"/>
    <w:rPr>
      <w:sz w:val="24"/>
      <w:szCs w:val="24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</w:rPr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Header"/>
    <w:basedOn w:val="Normal"/>
    <w:link w:val="a5"/>
    <w:rsid w:val="00a258ed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3">
    <w:name w:val="Footer"/>
    <w:basedOn w:val="Normal"/>
    <w:link w:val="a7"/>
    <w:uiPriority w:val="99"/>
    <w:rsid w:val="00a258ed"/>
    <w:pPr>
      <w:tabs>
        <w:tab w:val="clear" w:pos="708"/>
        <w:tab w:val="center" w:pos="4677" w:leader="none"/>
        <w:tab w:val="right" w:pos="9355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2f56ef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image" Target="media/image3.png"/><Relationship Id="rId5" Type="http://schemas.openxmlformats.org/officeDocument/2006/relationships/image" Target="media/image4.jpeg"/><Relationship Id="rId6" Type="http://schemas.openxmlformats.org/officeDocument/2006/relationships/image" Target="media/image5.wmf"/><Relationship Id="rId7" Type="http://schemas.openxmlformats.org/officeDocument/2006/relationships/image" Target="media/image6.png"/><Relationship Id="rId8" Type="http://schemas.openxmlformats.org/officeDocument/2006/relationships/footer" Target="footer1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<Relationship Id="rId1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0DF1B4-6D6A-497F-AAC8-0BB2FBC3C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LibreOffice/6.3.4.2$Windows_x86 LibreOffice_project/60da17e045e08f1793c57c00ba83cdfce946d0aa</Application>
  <Pages>15</Pages>
  <Words>824</Words>
  <Characters>5472</Characters>
  <CharactersWithSpaces>6174</CharactersWithSpaces>
  <Paragraphs>208</Paragraphs>
  <Company>NhT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2017-08-03T11:44:00Z</dcterms:created>
  <dc:creator>User</dc:creator>
  <dc:description/>
  <dc:language>ru-RU</dc:language>
  <cp:lastModifiedBy>Тихонова Анастасия Александровна</cp:lastModifiedBy>
  <cp:lastPrinted>2015-03-24T04:19:00Z</cp:lastPrinted>
  <dcterms:modified xsi:type="dcterms:W3CDTF">2017-08-03T11:44:00Z</dcterms:modified>
  <cp:revision>2</cp:revision>
  <dc:subject/>
  <dc:title>ТЕЛЕЖКА РУЧНАЯ ГИДРАВЛИЧЕСКАЯ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NhT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