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2.wmf" ContentType="image/x-wmf"/>
  <Override PartName="/word/media/image1.png" ContentType="image/png"/>
  <Override PartName="/word/media/image8.wmf" ContentType="image/x-wmf"/>
  <Override PartName="/word/media/image13.wmf" ContentType="image/x-wmf"/>
  <Override PartName="/word/media/image2.png" ContentType="image/png"/>
  <Override PartName="/word/media/image9.wmf" ContentType="image/x-wmf"/>
  <Override PartName="/word/media/image14.wmf" ContentType="image/x-wmf"/>
  <Override PartName="/word/media/image3.png" ContentType="image/png"/>
  <Override PartName="/word/media/image4.png" ContentType="image/png"/>
  <Override PartName="/word/media/image15.wmf" ContentType="image/x-wmf"/>
  <Override PartName="/word/media/image5.png" ContentType="image/png"/>
  <Override PartName="/word/media/image16.wmf" ContentType="image/x-wmf"/>
  <Override PartName="/word/media/image6.png" ContentType="image/png"/>
  <Override PartName="/word/media/image17.wmf" ContentType="image/x-wmf"/>
  <Override PartName="/word/media/image7.wmf" ContentType="image/x-wmf"/>
  <Override PartName="/word/media/image10.wmf" ContentType="image/x-wmf"/>
  <Override PartName="/word/media/image11.wmf" ContentType="image/x-wmf"/>
  <Override PartName="/word/media/image18.wmf" ContentType="image/x-wmf"/>
  <Override PartName="/word/media/image19.wmf" ContentType="image/x-wmf"/>
  <Override PartName="/word/embeddings/oleObject1.bin" ContentType="application/vnd.openxmlformats-officedocument.oleObject"/>
  <Override PartName="/word/embeddings/oleObject2.bin" ContentType="application/vnd.openxmlformats-officedocument.oleObject"/>
  <Override PartName="/word/embeddings/oleObject3.bin" ContentType="application/vnd.openxmlformats-officedocument.oleObject"/>
  <Override PartName="/word/embeddings/oleObject4.bin" ContentType="application/vnd.openxmlformats-officedocument.oleObject"/>
  <Override PartName="/word/embeddings/oleObject5.bin" ContentType="application/vnd.openxmlformats-officedocument.oleObject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709" w:hanging="567"/>
        <w:jc w:val="center"/>
        <w:rPr>
          <w:sz w:val="32"/>
          <w:szCs w:val="32"/>
        </w:rPr>
      </w:pPr>
      <w:r>
        <w:rPr>
          <w:sz w:val="32"/>
          <w:szCs w:val="32"/>
        </w:rPr>
        <w:t>Российская Федерация</w:t>
      </w:r>
    </w:p>
    <w:p>
      <w:pPr>
        <w:pStyle w:val="Normal"/>
        <w:ind w:left="709" w:hanging="567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  <w:t>ООО «АЛЮМЕТ»</w:t>
      </w:r>
    </w:p>
    <w:p>
      <w:pPr>
        <w:pStyle w:val="Normal"/>
        <w:ind w:left="709" w:hanging="567"/>
        <w:jc w:val="center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ind w:left="709" w:hanging="567"/>
        <w:jc w:val="center"/>
        <w:rPr/>
      </w:pPr>
      <w:r>
        <w:rPr/>
      </w:r>
    </w:p>
    <w:p>
      <w:pPr>
        <w:pStyle w:val="Normal"/>
        <w:ind w:left="709" w:hanging="567"/>
        <w:jc w:val="center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ind w:left="709" w:hanging="567"/>
        <w:jc w:val="center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ind w:left="709" w:hanging="567"/>
        <w:jc w:val="center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ind w:left="709" w:hanging="567"/>
        <w:jc w:val="center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ind w:left="709" w:hanging="567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  <w:t>Алюминиевые рабочие платформы</w:t>
      </w:r>
    </w:p>
    <w:p>
      <w:pPr>
        <w:pStyle w:val="Normal"/>
        <w:ind w:left="709" w:hanging="567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 xml:space="preserve">серии </w:t>
      </w:r>
      <w:r>
        <w:rPr>
          <w:b/>
          <w:sz w:val="36"/>
          <w:szCs w:val="36"/>
          <w:lang w:val="en-US"/>
        </w:rPr>
        <w:t>WP</w:t>
      </w:r>
      <w:r>
        <w:rPr>
          <w:b/>
          <w:sz w:val="36"/>
          <w:szCs w:val="36"/>
        </w:rPr>
        <w:t xml:space="preserve">, </w:t>
      </w:r>
      <w:r>
        <w:rPr>
          <w:b/>
          <w:sz w:val="36"/>
          <w:szCs w:val="36"/>
          <w:lang w:val="en-US"/>
        </w:rPr>
        <w:t>HWP</w:t>
      </w:r>
    </w:p>
    <w:p>
      <w:pPr>
        <w:pStyle w:val="Normal"/>
        <w:ind w:left="709" w:hanging="567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ind w:left="709" w:hanging="567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ind w:left="709" w:hanging="567"/>
        <w:jc w:val="center"/>
        <w:rPr>
          <w:b/>
          <w:b/>
          <w:sz w:val="40"/>
          <w:szCs w:val="40"/>
        </w:rPr>
      </w:pPr>
      <w:r>
        <w:rPr>
          <w:b/>
          <w:sz w:val="40"/>
          <w:szCs w:val="40"/>
        </w:rPr>
        <w:t>ПАСПОРТ</w:t>
      </w:r>
    </w:p>
    <w:p>
      <w:pPr>
        <w:pStyle w:val="Normal"/>
        <w:ind w:left="709" w:hanging="567"/>
        <w:jc w:val="center"/>
        <w:rPr>
          <w:b/>
          <w:b/>
          <w:sz w:val="40"/>
          <w:szCs w:val="40"/>
        </w:rPr>
      </w:pPr>
      <w:r>
        <w:rPr>
          <w:b/>
          <w:sz w:val="40"/>
          <w:szCs w:val="40"/>
        </w:rPr>
      </w:r>
    </w:p>
    <w:p>
      <w:pPr>
        <w:pStyle w:val="Normal"/>
        <w:ind w:left="709" w:hanging="567"/>
        <w:jc w:val="center"/>
        <w:rPr>
          <w:b/>
          <w:b/>
          <w:sz w:val="40"/>
          <w:szCs w:val="40"/>
        </w:rPr>
      </w:pPr>
      <w:r>
        <w:rPr>
          <w:b/>
          <w:sz w:val="40"/>
          <w:szCs w:val="40"/>
        </w:rPr>
      </w:r>
    </w:p>
    <w:p>
      <w:pPr>
        <w:pStyle w:val="Normal"/>
        <w:ind w:left="709" w:hanging="567"/>
        <w:jc w:val="center"/>
        <w:rPr>
          <w:b/>
          <w:b/>
          <w:sz w:val="40"/>
          <w:szCs w:val="40"/>
        </w:rPr>
      </w:pPr>
      <w:r>
        <w:rPr>
          <w:b/>
          <w:sz w:val="40"/>
          <w:szCs w:val="40"/>
        </w:rPr>
      </w:r>
    </w:p>
    <w:p>
      <w:pPr>
        <w:pStyle w:val="Normal"/>
        <w:ind w:left="709" w:hanging="567"/>
        <w:jc w:val="center"/>
        <w:rPr>
          <w:b/>
          <w:b/>
          <w:sz w:val="40"/>
          <w:szCs w:val="40"/>
        </w:rPr>
      </w:pPr>
      <w:r>
        <w:rPr>
          <w:b/>
          <w:sz w:val="40"/>
          <w:szCs w:val="40"/>
        </w:rPr>
      </w:r>
    </w:p>
    <w:p>
      <w:pPr>
        <w:pStyle w:val="Normal"/>
        <w:ind w:left="709" w:hanging="567"/>
        <w:jc w:val="center"/>
        <w:rPr>
          <w:b/>
          <w:b/>
          <w:sz w:val="40"/>
          <w:szCs w:val="40"/>
        </w:rPr>
      </w:pPr>
      <w:r>
        <w:rPr/>
        <w:drawing>
          <wp:inline distT="0" distB="0" distL="0" distR="0">
            <wp:extent cx="4724400" cy="3054350"/>
            <wp:effectExtent l="0" t="0" r="0" b="0"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400" cy="305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ind w:firstLine="720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ind w:firstLine="720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ind w:firstLine="720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ind w:firstLine="720"/>
        <w:rPr>
          <w:b/>
          <w:b/>
          <w:i/>
          <w:i/>
        </w:rPr>
      </w:pPr>
      <w:r>
        <w:rPr>
          <w:b/>
          <w:i/>
        </w:rPr>
      </w:r>
    </w:p>
    <w:p>
      <w:pPr>
        <w:pStyle w:val="Normal"/>
        <w:rPr>
          <w:b/>
          <w:b/>
          <w:i/>
          <w:i/>
        </w:rPr>
      </w:pPr>
      <w:r>
        <w:rPr>
          <w:b/>
          <w:i/>
        </w:rPr>
      </w:r>
      <w:r>
        <w:br w:type="page"/>
      </w:r>
    </w:p>
    <w:p>
      <w:pPr>
        <w:pStyle w:val="Normal"/>
        <w:ind w:firstLine="720"/>
        <w:rPr>
          <w:b/>
          <w:b/>
          <w:i/>
          <w:i/>
        </w:rPr>
      </w:pPr>
      <w:r>
        <w:rPr>
          <w:b/>
          <w:i/>
        </w:rPr>
      </w:r>
    </w:p>
    <w:p>
      <w:pPr>
        <w:pStyle w:val="ListParagraph"/>
        <w:numPr>
          <w:ilvl w:val="0"/>
          <w:numId w:val="1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НАЗНАЧЕНИЕ</w:t>
      </w:r>
    </w:p>
    <w:p>
      <w:pPr>
        <w:pStyle w:val="ListParagraph"/>
        <w:ind w:left="851" w:firstLine="425"/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8"/>
        </w:rPr>
        <w:t xml:space="preserve">Рабочие платформы </w:t>
      </w:r>
      <w:r>
        <w:rPr>
          <w:color w:val="000000" w:themeColor="text1"/>
          <w:sz w:val="28"/>
          <w:szCs w:val="28"/>
          <w:shd w:fill="FFFFFF" w:val="clear"/>
        </w:rPr>
        <w:t>предназначены для проведения различных работ на высоте до 2,8м. Применимы для работ как внутри, так и вне помещения. В сложенном положении занимают не много места, удобны в транспортировке и хранении.</w:t>
      </w:r>
    </w:p>
    <w:p>
      <w:pPr>
        <w:pStyle w:val="ListParagraph"/>
        <w:ind w:left="1440"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ListParagraph"/>
        <w:numPr>
          <w:ilvl w:val="0"/>
          <w:numId w:val="1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ТЕХНИЧЕСКИЕ ХАРАКТЕРИСТИКИ</w:t>
      </w:r>
    </w:p>
    <w:p>
      <w:pPr>
        <w:pStyle w:val="ListParagraph"/>
        <w:ind w:left="1440" w:hanging="0"/>
        <w:rPr>
          <w:b/>
          <w:b/>
        </w:rPr>
      </w:pPr>
      <w:r>
        <w:rPr>
          <w:b/>
        </w:rPr>
      </w:r>
    </w:p>
    <w:tbl>
      <w:tblPr>
        <w:tblW w:w="9468" w:type="dxa"/>
        <w:jc w:val="left"/>
        <w:tblInd w:w="846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966"/>
        <w:gridCol w:w="1638"/>
        <w:gridCol w:w="1475"/>
        <w:gridCol w:w="1638"/>
        <w:gridCol w:w="1638"/>
        <w:gridCol w:w="1112"/>
      </w:tblGrid>
      <w:tr>
        <w:trPr>
          <w:trHeight w:val="329" w:hRule="atLeast"/>
        </w:trPr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  <w:kern w:val="2"/>
                <w:sz w:val="20"/>
                <w:szCs w:val="20"/>
              </w:rPr>
            </w:pPr>
            <w:bookmarkStart w:id="0" w:name="_GoBack"/>
            <w:bookmarkEnd w:id="0"/>
            <w:r>
              <w:rPr>
                <w:b/>
                <w:bCs/>
                <w:kern w:val="2"/>
                <w:sz w:val="20"/>
                <w:szCs w:val="20"/>
              </w:rPr>
              <w:t>Артикул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ind w:left="146" w:hanging="0"/>
              <w:jc w:val="center"/>
              <w:rPr>
                <w:b/>
                <w:b/>
                <w:bCs/>
                <w:kern w:val="2"/>
                <w:sz w:val="20"/>
                <w:szCs w:val="20"/>
              </w:rPr>
            </w:pPr>
            <w:r>
              <w:rPr/>
              <w:object w:dxaOrig="1590" w:dyaOrig="660">
                <v:shape id="ole_rId3" style="width:53pt;height:22pt" o:ole="">
                  <v:imagedata r:id="rId4" o:title=""/>
                </v:shape>
                <o:OLEObject Type="Embed" ProgID="PBrush" ShapeID="ole_rId3" DrawAspect="Content" ObjectID="_1534276928" r:id="rId3"/>
              </w:objec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tLeast" w:line="100"/>
              <w:jc w:val="center"/>
              <w:rPr>
                <w:b/>
                <w:b/>
                <w:kern w:val="2"/>
                <w:sz w:val="20"/>
                <w:szCs w:val="20"/>
              </w:rPr>
            </w:pPr>
            <w:r>
              <w:rPr/>
              <w:object w:dxaOrig="1020" w:dyaOrig="585">
                <v:shape id="ole_rId5" style="width:34pt;height:19.5pt" o:ole="">
                  <v:imagedata r:id="rId6" o:title=""/>
                </v:shape>
                <o:OLEObject Type="Embed" ProgID="PBrush" ShapeID="ole_rId5" DrawAspect="Content" ObjectID="_1754900759" r:id="rId5"/>
              </w:objec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spacing w:lineRule="atLeast" w:line="100"/>
              <w:jc w:val="center"/>
              <w:rPr/>
            </w:pPr>
            <w:r>
              <w:rPr/>
              <w:object w:dxaOrig="540" w:dyaOrig="1305">
                <v:shape id="ole_rId7" style="width:18pt;height:43.5pt" o:ole="">
                  <v:imagedata r:id="rId8" o:title=""/>
                </v:shape>
                <o:OLEObject Type="Embed" ProgID="PBrush" ShapeID="ole_rId7" DrawAspect="Content" ObjectID="_1266339086" r:id="rId7"/>
              </w:objec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pacing w:lineRule="atLeast" w:line="100"/>
              <w:jc w:val="center"/>
              <w:rPr>
                <w:b/>
                <w:b/>
                <w:kern w:val="2"/>
                <w:sz w:val="20"/>
                <w:szCs w:val="20"/>
              </w:rPr>
            </w:pPr>
            <w:r>
              <w:rPr/>
              <w:object w:dxaOrig="1395" w:dyaOrig="1200">
                <v:shape id="ole_rId9" style="width:46.5pt;height:40pt" o:ole="">
                  <v:imagedata r:id="rId10" o:title=""/>
                </v:shape>
                <o:OLEObject Type="Embed" ProgID="PBrush" ShapeID="ole_rId9" DrawAspect="Content" ObjectID="_1582836841" r:id="rId9"/>
              </w:objec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spacing w:lineRule="atLeast" w:line="100"/>
              <w:jc w:val="center"/>
              <w:rPr>
                <w:b/>
                <w:b/>
                <w:bCs/>
                <w:kern w:val="2"/>
                <w:sz w:val="20"/>
                <w:szCs w:val="20"/>
              </w:rPr>
            </w:pPr>
            <w:r>
              <w:rPr/>
              <w:object w:dxaOrig="495" w:dyaOrig="465">
                <v:shape id="ole_rId11" style="width:26pt;height:24.5pt" o:ole="">
                  <v:imagedata r:id="rId12" o:title=""/>
                </v:shape>
                <o:OLEObject Type="Embed" ProgID="PBrush" ShapeID="ole_rId11" DrawAspect="Content" ObjectID="_1597452474" r:id="rId11"/>
              </w:object>
            </w:r>
          </w:p>
        </w:tc>
      </w:tr>
      <w:tr>
        <w:trPr>
          <w:trHeight w:val="329" w:hRule="atLeast"/>
        </w:trPr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Cs/>
                <w:kern w:val="2"/>
              </w:rPr>
            </w:pPr>
            <w:r>
              <w:rPr>
                <w:b/>
                <w:lang w:val="en-US"/>
              </w:rPr>
              <w:t>WP</w:t>
            </w:r>
            <w:r>
              <w:rPr>
                <w:b/>
              </w:rPr>
              <w:t xml:space="preserve"> 69х30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0,50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1,56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0,30х0,69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2,60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3,5</w:t>
            </w:r>
          </w:p>
        </w:tc>
      </w:tr>
      <w:tr>
        <w:trPr>
          <w:trHeight w:val="329" w:hRule="atLeast"/>
        </w:trPr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Cs/>
                <w:kern w:val="2"/>
              </w:rPr>
            </w:pPr>
            <w:r>
              <w:rPr>
                <w:b/>
                <w:lang w:val="en-US"/>
              </w:rPr>
              <w:t>WP</w:t>
            </w:r>
            <w:r>
              <w:rPr>
                <w:b/>
              </w:rPr>
              <w:t xml:space="preserve"> 101х30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0,50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1,08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0,30х1,01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2,60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4,0</w:t>
            </w:r>
          </w:p>
        </w:tc>
      </w:tr>
      <w:tr>
        <w:trPr>
          <w:trHeight w:val="329" w:hRule="atLeast"/>
        </w:trPr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b/>
                <w:b/>
                <w:lang w:val="en-US"/>
              </w:rPr>
            </w:pPr>
            <w:r>
              <w:rPr>
                <w:b/>
              </w:rPr>
              <w:t>Н</w:t>
            </w:r>
            <w:r>
              <w:rPr>
                <w:b/>
                <w:lang w:val="en-US"/>
              </w:rPr>
              <w:t>WP</w:t>
            </w:r>
            <w:r>
              <w:rPr>
                <w:b/>
              </w:rPr>
              <w:t xml:space="preserve"> 101х30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0,78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1,26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0,30х1,01</w:t>
            </w:r>
          </w:p>
        </w:tc>
        <w:tc>
          <w:tcPr>
            <w:tcW w:w="1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2,88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Normal"/>
              <w:jc w:val="center"/>
              <w:rPr>
                <w:color w:val="000000" w:themeColor="text1"/>
                <w:sz w:val="28"/>
                <w:szCs w:val="28"/>
                <w:highlight w:val="white"/>
              </w:rPr>
            </w:pPr>
            <w:r>
              <w:rPr>
                <w:color w:val="000000" w:themeColor="text1"/>
                <w:sz w:val="28"/>
                <w:szCs w:val="28"/>
                <w:shd w:fill="FFFFFF" w:val="clear"/>
              </w:rPr>
              <w:t>4,9</w:t>
            </w:r>
          </w:p>
        </w:tc>
      </w:tr>
    </w:tbl>
    <w:p>
      <w:pPr>
        <w:pStyle w:val="ListParagraph"/>
        <w:ind w:left="1440" w:hanging="0"/>
        <w:rPr>
          <w:b/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КОМПЛЕКТ ПОСТАВКИ</w:t>
      </w:r>
    </w:p>
    <w:p>
      <w:pPr>
        <w:pStyle w:val="ListParagraph"/>
        <w:ind w:left="1440" w:hang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рабочая платформа………..……………………………………….. – 1 шт</w:t>
      </w:r>
    </w:p>
    <w:p>
      <w:pPr>
        <w:pStyle w:val="ListParagraph"/>
        <w:ind w:left="1440" w:hang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</w:p>
    <w:p>
      <w:pPr>
        <w:pStyle w:val="ListParagraph"/>
        <w:ind w:left="1440" w:hang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УСТРОЙСТВО И ПРИНЦИП РАБОТЫ</w:t>
      </w:r>
    </w:p>
    <w:p>
      <w:pPr>
        <w:pStyle w:val="ListParagraph"/>
        <w:ind w:left="1440"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ListParagraph"/>
        <w:ind w:left="851" w:firstLine="425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Рабочие платформы состоят из трех секций, соединенных между собой стальными шарнирами. Перед началом работы, ножки разложить и зафиксировать положение крючком (на шарнире).</w:t>
      </w:r>
    </w:p>
    <w:p>
      <w:pPr>
        <w:pStyle w:val="ListParagraph"/>
        <w:ind w:left="851" w:firstLine="425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Основным преимуществом подмостей является компактность в собранном (транспортном) состоянии, что дает возможность перевозить платформы в багажном отделении легкового автомобиля.</w:t>
      </w:r>
    </w:p>
    <w:p>
      <w:pPr>
        <w:pStyle w:val="ListParagraph"/>
        <w:ind w:left="851" w:firstLine="425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Профили платформ изготовлены из алюминиевого сплава, в соответствии с ГОСТ 22233-2018, ступени выполнены с рифлением (предотвращают скольжение). На концах секций имеются пластиковые заглушки.</w:t>
      </w:r>
    </w:p>
    <w:p>
      <w:pPr>
        <w:pStyle w:val="ListParagraph"/>
        <w:ind w:left="851" w:firstLine="425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</w:r>
    </w:p>
    <w:p>
      <w:pPr>
        <w:pStyle w:val="ListParagraph"/>
        <w:ind w:left="851" w:firstLine="425"/>
        <w:rPr>
          <w:b/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</w:p>
    <w:p>
      <w:pPr>
        <w:pStyle w:val="ListParagraph"/>
        <w:ind w:left="851" w:firstLine="425"/>
        <w:rPr>
          <w:b/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ПРАВИЛА ЭКСПЛУАТАЦИИ И МЕРЫ БЕЗОПАСНОСТИ</w:t>
      </w:r>
    </w:p>
    <w:p>
      <w:pPr>
        <w:pStyle w:val="ListParagraph"/>
        <w:ind w:left="1440"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5.1 Ознакомьтесь с настоящим Паспортом.</w:t>
      </w:r>
      <w:bookmarkStart w:id="1" w:name="_Hlk1899947"/>
      <w:bookmarkEnd w:id="1"/>
    </w:p>
    <w:p>
      <w:pPr>
        <w:pStyle w:val="ListParagraph"/>
        <w:ind w:left="851" w:firstLine="425"/>
        <w:jc w:val="both"/>
        <w:rPr>
          <w:sz w:val="28"/>
          <w:szCs w:val="28"/>
        </w:rPr>
      </w:pPr>
      <w:r>
        <w:rPr>
          <w:sz w:val="28"/>
          <w:szCs w:val="28"/>
        </w:rPr>
        <w:t>5.2 Внимательно осмотрите рабочую платформу и убедитесь в отсутствии повреждений и деформаций. Проверьте наличие и исправность всех составляющих частей и узлов, в том числе шарниров.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 xml:space="preserve">5.3 Убедитесь что ваше физическое состояние позволяет  работать на высоте. </w:t>
      </w:r>
    </w:p>
    <w:p>
      <w:pPr>
        <w:pStyle w:val="ListParagraph"/>
        <w:ind w:left="1440" w:hanging="0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Крайне не рекомендуется:</w:t>
      </w:r>
    </w:p>
    <w:p>
      <w:pPr>
        <w:pStyle w:val="ListParagraph"/>
        <w:ind w:left="1440" w:hanging="0"/>
        <w:jc w:val="both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работать на платформе под воздействием алкогольного  и наркотического опьянения, а также во время приема сильнодействующих лекарств;</w:t>
      </w:r>
    </w:p>
    <w:p>
      <w:pPr>
        <w:pStyle w:val="ListParagraph"/>
        <w:ind w:left="1440" w:hanging="0"/>
        <w:jc w:val="both"/>
        <w:rPr>
          <w:sz w:val="28"/>
          <w:szCs w:val="28"/>
        </w:rPr>
      </w:pPr>
      <w:r>
        <w:rPr>
          <w:sz w:val="28"/>
          <w:szCs w:val="28"/>
        </w:rPr>
        <w:t>-использовать поврежденные рабочие платформы;</w:t>
      </w:r>
    </w:p>
    <w:p>
      <w:pPr>
        <w:pStyle w:val="ListParagraph"/>
        <w:ind w:left="1440" w:hanging="0"/>
        <w:jc w:val="both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самостоятельно ремонтировать платформу и изменять конструкцию.</w:t>
      </w:r>
    </w:p>
    <w:p>
      <w:pPr>
        <w:pStyle w:val="Normal"/>
        <w:spacing w:before="0" w:after="0"/>
        <w:ind w:left="851" w:firstLine="425"/>
        <w:contextualSpacing/>
        <w:rPr>
          <w:sz w:val="28"/>
          <w:szCs w:val="28"/>
        </w:rPr>
      </w:pPr>
      <w:r>
        <w:rPr>
          <w:sz w:val="28"/>
          <w:szCs w:val="28"/>
        </w:rPr>
        <w:t>5.4 На платформе может работать только на один человек, во избежание травм не выходите за габариты платформы.</w:t>
      </w:r>
    </w:p>
    <w:p>
      <w:pPr>
        <w:pStyle w:val="ListParagraph"/>
        <w:ind w:left="851" w:firstLine="425"/>
        <w:jc w:val="both"/>
        <w:rPr>
          <w:sz w:val="28"/>
          <w:szCs w:val="28"/>
        </w:rPr>
      </w:pPr>
      <w:r>
        <w:rPr>
          <w:sz w:val="28"/>
          <w:szCs w:val="28"/>
        </w:rPr>
        <w:t>5.5 платформой использовать только, если шарниры зафиксированы. При подъеме и спуске располагайтесь лицом к лестнице, следите за равновесием и сохраняйте вертикальное положение тела.</w:t>
      </w:r>
    </w:p>
    <w:p>
      <w:pPr>
        <w:pStyle w:val="ListParagraph"/>
        <w:ind w:left="851" w:firstLine="425"/>
        <w:jc w:val="both"/>
        <w:rPr>
          <w:sz w:val="28"/>
          <w:szCs w:val="28"/>
        </w:rPr>
      </w:pPr>
      <w:r>
        <w:rPr>
          <w:sz w:val="28"/>
          <w:szCs w:val="28"/>
        </w:rPr>
        <w:t>5.6 Максимально допустимая нагрузка составляет 150кг.</w:t>
      </w:r>
    </w:p>
    <w:p>
      <w:pPr>
        <w:pStyle w:val="Normal"/>
        <w:spacing w:before="0" w:after="0"/>
        <w:ind w:left="851" w:firstLine="425"/>
        <w:contextualSpacing/>
        <w:rPr>
          <w:sz w:val="28"/>
          <w:szCs w:val="28"/>
        </w:rPr>
      </w:pPr>
      <w:r>
        <w:rPr>
          <w:sz w:val="28"/>
          <w:szCs w:val="28"/>
        </w:rPr>
        <w:t>5.7 При работе на рабочей платформе пользуйтесь «Инструкцией по охране труда при работе на высоте», утвержденной Приказом Минтруда России от 16.11.2020г. №782н а так же СНиП 12-03-2001 «Техника безопасности в строительстве».</w:t>
      </w:r>
    </w:p>
    <w:p>
      <w:pPr>
        <w:pStyle w:val="Normal"/>
        <w:spacing w:before="0" w:after="0"/>
        <w:ind w:left="851" w:firstLine="425"/>
        <w:contextualSpacing/>
        <w:rPr>
          <w:sz w:val="28"/>
          <w:szCs w:val="28"/>
        </w:rPr>
      </w:pPr>
      <w:r>
        <w:rPr>
          <w:sz w:val="28"/>
          <w:szCs w:val="28"/>
        </w:rPr>
        <w:t>5.8 Не работать вблизи незапертой двери и открытого окна, в оживленных зонах.</w:t>
      </w:r>
    </w:p>
    <w:p>
      <w:pPr>
        <w:pStyle w:val="Normal"/>
        <w:spacing w:before="0" w:after="0"/>
        <w:ind w:left="851" w:firstLine="425"/>
        <w:contextualSpacing/>
        <w:rPr>
          <w:sz w:val="28"/>
          <w:szCs w:val="28"/>
        </w:rPr>
      </w:pPr>
      <w:r>
        <w:rPr>
          <w:sz w:val="28"/>
          <w:szCs w:val="28"/>
        </w:rPr>
        <w:t>5.9 Основные меры безопасности кратко изложены в виде международных пиктограмм, расшифровка которых приведена ниже.</w:t>
      </w:r>
    </w:p>
    <w:p>
      <w:pPr>
        <w:pStyle w:val="Normal"/>
        <w:ind w:left="709" w:hanging="567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</w:r>
    </w:p>
    <w:tbl>
      <w:tblPr>
        <w:tblStyle w:val="a3"/>
        <w:tblW w:w="9713" w:type="dxa"/>
        <w:jc w:val="left"/>
        <w:tblInd w:w="1027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490"/>
        <w:gridCol w:w="3545"/>
        <w:gridCol w:w="1275"/>
        <w:gridCol w:w="3402"/>
      </w:tblGrid>
      <w:tr>
        <w:trPr/>
        <w:tc>
          <w:tcPr>
            <w:tcW w:w="1490" w:type="dxa"/>
            <w:tcBorders/>
            <w:shd w:fill="auto" w:val="clear"/>
          </w:tcPr>
          <w:p>
            <w:pPr>
              <w:pStyle w:val="Normal"/>
              <w:ind w:left="107" w:hanging="35"/>
              <w:jc w:val="center"/>
              <w:rPr>
                <w:sz w:val="32"/>
                <w:szCs w:val="32"/>
              </w:rPr>
            </w:pPr>
            <w:r>
              <w:rPr/>
              <w:drawing>
                <wp:inline distT="0" distB="0" distL="0" distR="0">
                  <wp:extent cx="501650" cy="501650"/>
                  <wp:effectExtent l="0" t="0" r="0" b="0"/>
                  <wp:docPr id="2" name="Рисунок 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650" cy="501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5" w:type="dxa"/>
            <w:tcBorders/>
            <w:shd w:fill="auto" w:val="clear"/>
          </w:tcPr>
          <w:p>
            <w:pPr>
              <w:pStyle w:val="Normal"/>
              <w:ind w:left="133" w:hanging="0"/>
              <w:jc w:val="both"/>
              <w:rPr>
                <w:vertAlign w:val="superscript"/>
              </w:rPr>
            </w:pPr>
            <w:r>
              <w:rPr/>
              <w:t>Перед использованием прочитать инструкции (паспорт)</w:t>
            </w:r>
          </w:p>
        </w:tc>
        <w:tc>
          <w:tcPr>
            <w:tcW w:w="1275" w:type="dxa"/>
            <w:tcBorders/>
            <w:shd w:fill="auto" w:val="clear"/>
          </w:tcPr>
          <w:p>
            <w:pPr>
              <w:pStyle w:val="Normal"/>
              <w:ind w:left="109" w:hanging="33"/>
              <w:jc w:val="center"/>
              <w:rPr/>
            </w:pPr>
            <w:r>
              <w:rPr/>
              <w:drawing>
                <wp:inline distT="0" distB="0" distL="0" distR="0">
                  <wp:extent cx="450850" cy="450850"/>
                  <wp:effectExtent l="0" t="0" r="0" b="0"/>
                  <wp:docPr id="3" name="Рисунок 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850" cy="450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tcBorders/>
            <w:shd w:fill="auto" w:val="clear"/>
          </w:tcPr>
          <w:p>
            <w:pPr>
              <w:pStyle w:val="Normal"/>
              <w:ind w:left="34" w:hanging="0"/>
              <w:jc w:val="both"/>
              <w:rPr/>
            </w:pPr>
            <w:r>
              <w:rPr/>
              <w:t>Максимальная нагрузка 150кг</w:t>
            </w:r>
          </w:p>
        </w:tc>
      </w:tr>
      <w:tr>
        <w:trPr/>
        <w:tc>
          <w:tcPr>
            <w:tcW w:w="1490" w:type="dxa"/>
            <w:tcBorders/>
            <w:shd w:fill="auto" w:val="clear"/>
          </w:tcPr>
          <w:p>
            <w:pPr>
              <w:pStyle w:val="Normal"/>
              <w:ind w:left="107" w:hanging="35"/>
              <w:jc w:val="center"/>
              <w:rPr>
                <w:sz w:val="32"/>
                <w:szCs w:val="32"/>
              </w:rPr>
            </w:pPr>
            <w:r>
              <w:rPr/>
              <w:drawing>
                <wp:inline distT="0" distB="0" distL="0" distR="0">
                  <wp:extent cx="476250" cy="450850"/>
                  <wp:effectExtent l="0" t="0" r="0" b="0"/>
                  <wp:docPr id="4" name="Рисунок 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50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5" w:type="dxa"/>
            <w:tcBorders/>
            <w:shd w:fill="auto" w:val="clear"/>
          </w:tcPr>
          <w:p>
            <w:pPr>
              <w:pStyle w:val="Normal"/>
              <w:ind w:left="133" w:hanging="0"/>
              <w:jc w:val="both"/>
              <w:rPr>
                <w:sz w:val="32"/>
                <w:szCs w:val="32"/>
              </w:rPr>
            </w:pPr>
            <w:r>
              <w:rPr/>
              <w:t>Только один человек на подмостях</w:t>
            </w:r>
          </w:p>
        </w:tc>
        <w:tc>
          <w:tcPr>
            <w:tcW w:w="1275" w:type="dxa"/>
            <w:tcBorders/>
            <w:shd w:fill="auto" w:val="clear"/>
          </w:tcPr>
          <w:p>
            <w:pPr>
              <w:pStyle w:val="Normal"/>
              <w:ind w:left="109" w:hanging="33"/>
              <w:jc w:val="center"/>
              <w:rPr/>
            </w:pPr>
            <w:r>
              <w:rPr/>
              <w:drawing>
                <wp:inline distT="0" distB="0" distL="0" distR="0">
                  <wp:extent cx="476250" cy="438150"/>
                  <wp:effectExtent l="0" t="0" r="0" b="0"/>
                  <wp:docPr id="5" name="Рисунок 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38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tcBorders/>
            <w:shd w:fill="auto" w:val="clear"/>
          </w:tcPr>
          <w:p>
            <w:pPr>
              <w:pStyle w:val="Normal"/>
              <w:ind w:left="34" w:hanging="0"/>
              <w:jc w:val="both"/>
              <w:rPr/>
            </w:pPr>
            <w:r>
              <w:rPr/>
              <w:t>Осторожно, возможно падение</w:t>
            </w:r>
          </w:p>
        </w:tc>
      </w:tr>
      <w:tr>
        <w:trPr/>
        <w:tc>
          <w:tcPr>
            <w:tcW w:w="1490" w:type="dxa"/>
            <w:tcBorders/>
            <w:shd w:fill="auto" w:val="clear"/>
          </w:tcPr>
          <w:p>
            <w:pPr>
              <w:pStyle w:val="Normal"/>
              <w:ind w:left="107" w:hanging="35"/>
              <w:jc w:val="center"/>
              <w:rPr>
                <w:sz w:val="32"/>
                <w:szCs w:val="32"/>
              </w:rPr>
            </w:pPr>
            <w:r>
              <w:rPr/>
              <w:drawing>
                <wp:inline distT="0" distB="0" distL="0" distR="0">
                  <wp:extent cx="476250" cy="476250"/>
                  <wp:effectExtent l="0" t="0" r="0" b="0"/>
                  <wp:docPr id="6" name="Рисунок 1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1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7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5" w:type="dxa"/>
            <w:tcBorders/>
            <w:shd w:fill="auto" w:val="clear"/>
          </w:tcPr>
          <w:p>
            <w:pPr>
              <w:pStyle w:val="Normal"/>
              <w:ind w:left="133" w:hanging="0"/>
              <w:jc w:val="both"/>
              <w:rPr>
                <w:sz w:val="32"/>
                <w:szCs w:val="32"/>
              </w:rPr>
            </w:pPr>
            <w:r>
              <w:rPr/>
              <w:t>Не выходите за пределы платформы</w:t>
            </w:r>
          </w:p>
        </w:tc>
        <w:tc>
          <w:tcPr>
            <w:tcW w:w="1275" w:type="dxa"/>
            <w:tcBorders/>
            <w:shd w:fill="auto" w:val="clear"/>
          </w:tcPr>
          <w:p>
            <w:pPr>
              <w:pStyle w:val="Normal"/>
              <w:ind w:left="109" w:hanging="33"/>
              <w:jc w:val="center"/>
              <w:rPr/>
            </w:pPr>
            <w:r>
              <w:rPr/>
              <w:drawing>
                <wp:inline distT="0" distB="0" distL="0" distR="0">
                  <wp:extent cx="501650" cy="482600"/>
                  <wp:effectExtent l="0" t="0" r="0" b="0"/>
                  <wp:docPr id="7" name="Рисунок 1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1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650" cy="482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tcBorders/>
            <w:shd w:fill="auto" w:val="clear"/>
          </w:tcPr>
          <w:p>
            <w:pPr>
              <w:pStyle w:val="Normal"/>
              <w:ind w:left="34" w:hanging="0"/>
              <w:jc w:val="both"/>
              <w:rPr/>
            </w:pPr>
            <w:r>
              <w:rPr/>
              <w:t>Не надевать неподходящую обувь</w:t>
            </w:r>
          </w:p>
        </w:tc>
      </w:tr>
      <w:tr>
        <w:trPr/>
        <w:tc>
          <w:tcPr>
            <w:tcW w:w="1490" w:type="dxa"/>
            <w:tcBorders/>
            <w:shd w:fill="auto" w:val="clear"/>
          </w:tcPr>
          <w:p>
            <w:pPr>
              <w:pStyle w:val="Normal"/>
              <w:ind w:left="107" w:hanging="35"/>
              <w:jc w:val="center"/>
              <w:rPr>
                <w:sz w:val="32"/>
                <w:szCs w:val="32"/>
              </w:rPr>
            </w:pPr>
            <w:r>
              <w:rPr/>
              <w:drawing>
                <wp:inline distT="0" distB="0" distL="0" distR="0">
                  <wp:extent cx="527050" cy="469900"/>
                  <wp:effectExtent l="0" t="0" r="0" b="0"/>
                  <wp:docPr id="8" name="Рисунок 1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1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7050" cy="469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5" w:type="dxa"/>
            <w:tcBorders/>
            <w:shd w:fill="auto" w:val="clear"/>
          </w:tcPr>
          <w:p>
            <w:pPr>
              <w:pStyle w:val="Normal"/>
              <w:ind w:left="133" w:hanging="0"/>
              <w:jc w:val="both"/>
              <w:rPr/>
            </w:pPr>
            <w:r>
              <w:rPr/>
              <w:t>Перед использованием осмотреть, поврежденную платформу не использовать</w:t>
            </w:r>
          </w:p>
        </w:tc>
        <w:tc>
          <w:tcPr>
            <w:tcW w:w="1275" w:type="dxa"/>
            <w:tcBorders/>
            <w:shd w:fill="auto" w:val="clear"/>
          </w:tcPr>
          <w:p>
            <w:pPr>
              <w:pStyle w:val="Normal"/>
              <w:ind w:left="109" w:hanging="33"/>
              <w:jc w:val="center"/>
              <w:rPr/>
            </w:pPr>
            <w:r>
              <w:rPr/>
              <w:drawing>
                <wp:inline distT="0" distB="0" distL="0" distR="0">
                  <wp:extent cx="476250" cy="469900"/>
                  <wp:effectExtent l="0" t="0" r="0" b="0"/>
                  <wp:docPr id="9" name="Рисунок 1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1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69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tcBorders/>
            <w:shd w:fill="auto" w:val="clear"/>
          </w:tcPr>
          <w:p>
            <w:pPr>
              <w:pStyle w:val="Normal"/>
              <w:ind w:left="34" w:hanging="0"/>
              <w:jc w:val="both"/>
              <w:rPr/>
            </w:pPr>
            <w:r>
              <w:rPr/>
              <w:t>Не использовать платформу на неровной или неукрепленной поверхности</w:t>
            </w:r>
          </w:p>
        </w:tc>
      </w:tr>
      <w:tr>
        <w:trPr/>
        <w:tc>
          <w:tcPr>
            <w:tcW w:w="1490" w:type="dxa"/>
            <w:tcBorders/>
            <w:shd w:fill="auto" w:val="clear"/>
          </w:tcPr>
          <w:p>
            <w:pPr>
              <w:pStyle w:val="Normal"/>
              <w:ind w:left="107" w:hanging="35"/>
              <w:jc w:val="center"/>
              <w:rPr>
                <w:sz w:val="32"/>
                <w:szCs w:val="32"/>
              </w:rPr>
            </w:pPr>
            <w:r>
              <w:rPr/>
              <w:drawing>
                <wp:inline distT="0" distB="0" distL="0" distR="0">
                  <wp:extent cx="577850" cy="482600"/>
                  <wp:effectExtent l="0" t="0" r="0" b="0"/>
                  <wp:docPr id="10" name="Рисунок 1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1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7850" cy="482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5" w:type="dxa"/>
            <w:tcBorders/>
            <w:shd w:fill="auto" w:val="clear"/>
          </w:tcPr>
          <w:p>
            <w:pPr>
              <w:pStyle w:val="Normal"/>
              <w:ind w:left="133" w:hanging="0"/>
              <w:jc w:val="both"/>
              <w:rPr/>
            </w:pPr>
            <w:r>
              <w:rPr/>
              <w:t>Не устанавливайте платформу на загрязненной земле, скользкой поверхности</w:t>
            </w:r>
          </w:p>
        </w:tc>
        <w:tc>
          <w:tcPr>
            <w:tcW w:w="1275" w:type="dxa"/>
            <w:tcBorders/>
            <w:shd w:fill="auto" w:val="clear"/>
          </w:tcPr>
          <w:p>
            <w:pPr>
              <w:pStyle w:val="Normal"/>
              <w:ind w:left="109" w:hanging="33"/>
              <w:jc w:val="center"/>
              <w:rPr/>
            </w:pPr>
            <w:r>
              <w:rPr/>
              <w:drawing>
                <wp:inline distT="0" distB="0" distL="0" distR="0">
                  <wp:extent cx="527050" cy="476250"/>
                  <wp:effectExtent l="0" t="0" r="0" b="0"/>
                  <wp:docPr id="11" name="Рисунок 1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1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7050" cy="47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tcBorders/>
            <w:shd w:fill="auto" w:val="clear"/>
          </w:tcPr>
          <w:p>
            <w:pPr>
              <w:pStyle w:val="Normal"/>
              <w:ind w:left="34" w:hanging="0"/>
              <w:rPr/>
            </w:pPr>
            <w:r>
              <w:rPr/>
              <w:t>Запрещено использовать подмости при определенных заболеваниях, приеме лекарств, алкоголя или наркотиков.</w:t>
            </w:r>
          </w:p>
        </w:tc>
      </w:tr>
      <w:tr>
        <w:trPr/>
        <w:tc>
          <w:tcPr>
            <w:tcW w:w="1490" w:type="dxa"/>
            <w:tcBorders/>
            <w:shd w:fill="auto" w:val="clear"/>
          </w:tcPr>
          <w:p>
            <w:pPr>
              <w:pStyle w:val="Normal"/>
              <w:ind w:left="107" w:hanging="35"/>
              <w:jc w:val="center"/>
              <w:rPr>
                <w:sz w:val="32"/>
                <w:szCs w:val="32"/>
              </w:rPr>
            </w:pPr>
            <w:r>
              <w:rPr/>
              <w:drawing>
                <wp:inline distT="0" distB="0" distL="0" distR="0">
                  <wp:extent cx="501650" cy="495300"/>
                  <wp:effectExtent l="0" t="0" r="0" b="0"/>
                  <wp:docPr id="12" name="Рисунок 1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Рисунок 1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650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5" w:type="dxa"/>
            <w:tcBorders/>
            <w:shd w:fill="auto" w:val="clear"/>
          </w:tcPr>
          <w:p>
            <w:pPr>
              <w:pStyle w:val="Normal"/>
              <w:ind w:left="133" w:hanging="0"/>
              <w:jc w:val="both"/>
              <w:rPr>
                <w:sz w:val="32"/>
                <w:szCs w:val="32"/>
              </w:rPr>
            </w:pPr>
            <w:r>
              <w:rPr/>
              <w:t>Не работайте под ЛЭП и под незащищенным электрооборудованием</w:t>
            </w:r>
          </w:p>
        </w:tc>
        <w:tc>
          <w:tcPr>
            <w:tcW w:w="1275" w:type="dxa"/>
            <w:tcBorders/>
            <w:shd w:fill="auto" w:val="clear"/>
          </w:tcPr>
          <w:p>
            <w:pPr>
              <w:pStyle w:val="Normal"/>
              <w:ind w:left="109" w:hanging="33"/>
              <w:jc w:val="center"/>
              <w:rPr/>
            </w:pPr>
            <w:r>
              <w:rPr/>
              <w:drawing>
                <wp:inline distT="0" distB="0" distL="0" distR="0">
                  <wp:extent cx="476250" cy="495300"/>
                  <wp:effectExtent l="0" t="0" r="0" b="0"/>
                  <wp:docPr id="13" name="Рисунок 1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1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tcBorders/>
            <w:shd w:fill="auto" w:val="clear"/>
          </w:tcPr>
          <w:p>
            <w:pPr>
              <w:pStyle w:val="Normal"/>
              <w:ind w:left="34" w:hanging="0"/>
              <w:rPr/>
            </w:pPr>
            <w:r>
              <w:rPr/>
              <w:t>Не работайте под напряжением</w:t>
            </w:r>
          </w:p>
        </w:tc>
      </w:tr>
      <w:tr>
        <w:trPr/>
        <w:tc>
          <w:tcPr>
            <w:tcW w:w="1490" w:type="dxa"/>
            <w:tcBorders/>
            <w:shd w:fill="auto" w:val="clear"/>
          </w:tcPr>
          <w:p>
            <w:pPr>
              <w:pStyle w:val="Normal"/>
              <w:ind w:left="107" w:hanging="35"/>
              <w:jc w:val="center"/>
              <w:rPr>
                <w:sz w:val="32"/>
                <w:szCs w:val="32"/>
              </w:rPr>
            </w:pPr>
            <w:r>
              <w:rPr/>
              <w:drawing>
                <wp:inline distT="0" distB="0" distL="0" distR="0">
                  <wp:extent cx="527050" cy="469900"/>
                  <wp:effectExtent l="0" t="0" r="0" b="0"/>
                  <wp:docPr id="14" name="Рисунок 1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7050" cy="469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5" w:type="dxa"/>
            <w:tcBorders/>
            <w:shd w:fill="auto" w:val="clear"/>
          </w:tcPr>
          <w:p>
            <w:pPr>
              <w:pStyle w:val="Normal"/>
              <w:ind w:left="133" w:hanging="0"/>
              <w:jc w:val="both"/>
              <w:rPr>
                <w:sz w:val="32"/>
                <w:szCs w:val="32"/>
              </w:rPr>
            </w:pPr>
            <w:r>
              <w:rPr/>
              <w:t>Избегайте работ, которые создают боковую нагрузку, например, сверление твердых поверхностей</w:t>
            </w:r>
          </w:p>
        </w:tc>
        <w:tc>
          <w:tcPr>
            <w:tcW w:w="1275" w:type="dxa"/>
            <w:tcBorders/>
            <w:shd w:fill="auto" w:val="clear"/>
          </w:tcPr>
          <w:p>
            <w:pPr>
              <w:pStyle w:val="Normal"/>
              <w:ind w:left="109" w:hanging="33"/>
              <w:jc w:val="center"/>
              <w:rPr/>
            </w:pPr>
            <w:r>
              <w:rPr/>
            </w:r>
          </w:p>
        </w:tc>
        <w:tc>
          <w:tcPr>
            <w:tcW w:w="3402" w:type="dxa"/>
            <w:tcBorders/>
            <w:shd w:fill="auto" w:val="clear"/>
          </w:tcPr>
          <w:p>
            <w:pPr>
              <w:pStyle w:val="Normal"/>
              <w:ind w:left="34" w:hanging="0"/>
              <w:jc w:val="both"/>
              <w:rPr/>
            </w:pPr>
            <w:r>
              <w:rPr/>
            </w:r>
          </w:p>
        </w:tc>
      </w:tr>
    </w:tbl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numPr>
          <w:ilvl w:val="0"/>
          <w:numId w:val="1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ТРАНСПОРТИРОВКА И ХРАНЕНИЕ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6.1 Транспортировка рабочих платформ в соответствии с ГОСТ 58752-2019.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6.2 Хранить рабочие платформы необходимо в сухом помещении в соответствии с ГОСТ 15150-69 по группе условий хранения Ж3.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6.3 Избегайте контакта рабочих платформ с агрессивными средами (соль, щелочь, кислота, противогололёдные реагенты и прочее). В случае контакта промойте платформу водой и протрите насухо.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ListParagraph"/>
        <w:numPr>
          <w:ilvl w:val="0"/>
          <w:numId w:val="1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СВИДЕТЕЛЬСТВО О ПРИЕМКЕ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Рабочие платформы признаны годными для эксплуатации.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Дата продажи   «____» ___________________20___г.</w:t>
      </w:r>
    </w:p>
    <w:p>
      <w:pPr>
        <w:pStyle w:val="ListParagraph"/>
        <w:ind w:left="1440" w:hanging="0"/>
        <w:rPr/>
      </w:pPr>
      <w:r>
        <w:rPr/>
        <w:t xml:space="preserve">                                    </w:t>
      </w:r>
      <w:r>
        <w:rPr/>
        <w:t>(заполняется продавцом)</w:t>
      </w:r>
    </w:p>
    <w:p>
      <w:pPr>
        <w:pStyle w:val="ListParagraph"/>
        <w:ind w:left="1440"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ListParagraph"/>
        <w:numPr>
          <w:ilvl w:val="0"/>
          <w:numId w:val="1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ГАРАНТИЙНЫЕ ОБЯЗАТЕЛЬСТВА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Гарантийный срок – 12 месяцев со дня продажи.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Гарантия не распространяется на изнашивающиеся в процессе эксплуатации пластиковые заглушки.</w:t>
      </w:r>
    </w:p>
    <w:p>
      <w:pPr>
        <w:pStyle w:val="ListParagraph"/>
        <w:ind w:left="1440"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ListParagraph"/>
        <w:numPr>
          <w:ilvl w:val="0"/>
          <w:numId w:val="1"/>
        </w:numPr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СРОК СЛУЖБЫ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Установленный производителем срок полезного использования рабочих платформ составляет 5 лет с даты  продажи при эксплуатации в строгом соответствии с паспортом.</w:t>
      </w:r>
    </w:p>
    <w:p>
      <w:pPr>
        <w:pStyle w:val="ListParagraph"/>
        <w:ind w:left="1440"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ListParagraph"/>
        <w:numPr>
          <w:ilvl w:val="0"/>
          <w:numId w:val="1"/>
        </w:numPr>
        <w:jc w:val="center"/>
        <w:rPr>
          <w:sz w:val="28"/>
          <w:szCs w:val="28"/>
        </w:rPr>
      </w:pPr>
      <w:r>
        <w:rPr>
          <w:b/>
          <w:sz w:val="28"/>
          <w:szCs w:val="28"/>
        </w:rPr>
        <w:t>УТИЛИЗАЦИЯ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- Металлические детали сдаются в металлолом;</w:t>
      </w:r>
    </w:p>
    <w:p>
      <w:pPr>
        <w:pStyle w:val="ListParagraph"/>
        <w:ind w:left="851" w:firstLine="425"/>
        <w:rPr>
          <w:sz w:val="28"/>
          <w:szCs w:val="28"/>
        </w:rPr>
      </w:pPr>
      <w:r>
        <w:rPr>
          <w:sz w:val="28"/>
          <w:szCs w:val="28"/>
        </w:rPr>
        <w:t>- Пластиковые изделия – в пункты вторсырья.</w:t>
      </w:r>
    </w:p>
    <w:p>
      <w:pPr>
        <w:pStyle w:val="ListParagraph"/>
        <w:ind w:left="144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20"/>
        <w:rPr>
          <w:b/>
          <w:b/>
          <w:i/>
          <w:i/>
          <w:sz w:val="28"/>
          <w:szCs w:val="28"/>
        </w:rPr>
      </w:pPr>
      <w:r>
        <w:rPr>
          <w:b/>
          <w:i/>
          <w:sz w:val="28"/>
          <w:szCs w:val="28"/>
        </w:rPr>
      </w:r>
    </w:p>
    <w:p>
      <w:pPr>
        <w:pStyle w:val="ListParagraph"/>
        <w:ind w:left="1440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ПРОИЗВОДИТЕЛЬ:</w:t>
      </w:r>
    </w:p>
    <w:p>
      <w:pPr>
        <w:pStyle w:val="Normal"/>
        <w:ind w:left="709" w:hanging="567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</w:p>
    <w:p>
      <w:pPr>
        <w:pStyle w:val="Normal"/>
        <w:ind w:left="709" w:hanging="567"/>
        <w:jc w:val="center"/>
        <w:rPr>
          <w:sz w:val="32"/>
          <w:szCs w:val="32"/>
        </w:rPr>
      </w:pPr>
      <w:r>
        <w:rPr>
          <w:sz w:val="32"/>
          <w:szCs w:val="32"/>
        </w:rPr>
        <w:t>ООО «АЛЮМЕТ»</w:t>
      </w:r>
    </w:p>
    <w:p>
      <w:pPr>
        <w:pStyle w:val="ListParagraph"/>
        <w:ind w:left="851" w:hanging="0"/>
        <w:rPr>
          <w:sz w:val="28"/>
          <w:szCs w:val="28"/>
        </w:rPr>
      </w:pPr>
      <w:r>
        <w:rPr>
          <w:sz w:val="28"/>
          <w:szCs w:val="28"/>
        </w:rPr>
        <w:t>Адрес: Россия, 141825, Московская область, г. Дмитров,</w:t>
      </w:r>
    </w:p>
    <w:p>
      <w:pPr>
        <w:pStyle w:val="ListParagraph"/>
        <w:ind w:left="851" w:hanging="0"/>
        <w:rPr>
          <w:sz w:val="28"/>
          <w:szCs w:val="28"/>
        </w:rPr>
      </w:pPr>
      <w:r>
        <w:rPr>
          <w:sz w:val="28"/>
          <w:szCs w:val="28"/>
        </w:rPr>
        <w:t>д. Шелепино, владение 121, строение 1</w:t>
      </w:r>
    </w:p>
    <w:p>
      <w:pPr>
        <w:pStyle w:val="ListParagraph"/>
        <w:ind w:left="851" w:hanging="0"/>
        <w:rPr>
          <w:sz w:val="28"/>
          <w:szCs w:val="28"/>
        </w:rPr>
      </w:pPr>
      <w:r>
        <w:rPr>
          <w:sz w:val="28"/>
          <w:szCs w:val="28"/>
        </w:rPr>
        <w:t>Телефон: +7(495) 668-1073</w:t>
      </w:r>
    </w:p>
    <w:p>
      <w:pPr>
        <w:pStyle w:val="ListParagraph"/>
        <w:ind w:left="851" w:hanging="0"/>
        <w:rPr/>
      </w:pPr>
      <w:r>
        <w:rPr>
          <w:sz w:val="28"/>
          <w:szCs w:val="28"/>
          <w:lang w:val="en-US"/>
        </w:rPr>
        <w:t>E-mail: info</w:t>
      </w:r>
      <w:hyperlink r:id="rId26">
        <w:r>
          <w:rPr>
            <w:rStyle w:val="Style"/>
            <w:sz w:val="28"/>
            <w:szCs w:val="28"/>
            <w:lang w:val="en-US"/>
          </w:rPr>
          <w:t>@alumet.ru</w:t>
        </w:r>
      </w:hyperlink>
      <w:r>
        <w:rPr>
          <w:sz w:val="28"/>
          <w:szCs w:val="28"/>
          <w:lang w:val="en-US"/>
        </w:rPr>
        <w:tab/>
        <w:tab/>
        <w:t xml:space="preserve">   </w:t>
        <w:tab/>
        <w:tab/>
        <w:tab/>
        <w:tab/>
        <w:tab/>
      </w:r>
      <w:hyperlink r:id="rId27">
        <w:r>
          <w:rPr>
            <w:rStyle w:val="Style20"/>
            <w:sz w:val="28"/>
            <w:szCs w:val="28"/>
            <w:lang w:val="en-US"/>
          </w:rPr>
          <w:t>www.alumet.ru</w:t>
        </w:r>
      </w:hyperlink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ListParagraph"/>
        <w:ind w:left="851" w:hanging="0"/>
        <w:jc w:val="right"/>
        <w:rPr/>
      </w:pPr>
      <w:r>
        <w:rPr>
          <w:sz w:val="28"/>
          <w:szCs w:val="28"/>
          <w:lang w:val="en-US"/>
        </w:rPr>
        <w:t>11.03.22</w:t>
      </w:r>
    </w:p>
    <w:sectPr>
      <w:type w:val="nextPage"/>
      <w:pgSz w:w="11906" w:h="16838"/>
      <w:pgMar w:left="567" w:right="566" w:header="0" w:top="1134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Cambri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ourier New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b06cfd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Выделение"/>
    <w:qFormat/>
    <w:rsid w:val="00377291"/>
    <w:rPr>
      <w:i/>
      <w:iCs/>
    </w:rPr>
  </w:style>
  <w:style w:type="character" w:styleId="Style15" w:customStyle="1">
    <w:name w:val="Верхний колонтитул Знак"/>
    <w:link w:val="a5"/>
    <w:qFormat/>
    <w:rsid w:val="000d3657"/>
    <w:rPr>
      <w:sz w:val="24"/>
      <w:szCs w:val="24"/>
    </w:rPr>
  </w:style>
  <w:style w:type="character" w:styleId="Style16" w:customStyle="1">
    <w:name w:val="Нижний колонтитул Знак"/>
    <w:link w:val="a7"/>
    <w:qFormat/>
    <w:rsid w:val="000d3657"/>
    <w:rPr>
      <w:sz w:val="24"/>
      <w:szCs w:val="24"/>
    </w:rPr>
  </w:style>
  <w:style w:type="character" w:styleId="Rvts18" w:customStyle="1">
    <w:name w:val="rvts18"/>
    <w:basedOn w:val="DefaultParagraphFont"/>
    <w:qFormat/>
    <w:rsid w:val="00045c7d"/>
    <w:rPr/>
  </w:style>
  <w:style w:type="character" w:styleId="Style17" w:customStyle="1">
    <w:name w:val="Текст выноски Знак"/>
    <w:basedOn w:val="DefaultParagraphFont"/>
    <w:link w:val="a9"/>
    <w:qFormat/>
    <w:rsid w:val="002d5270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qFormat/>
    <w:rsid w:val="008f60b7"/>
    <w:rPr>
      <w:b/>
      <w:bCs/>
    </w:rPr>
  </w:style>
  <w:style w:type="character" w:styleId="Style18" w:customStyle="1">
    <w:name w:val="Подзаголовок Знак"/>
    <w:basedOn w:val="DefaultParagraphFont"/>
    <w:link w:val="ad"/>
    <w:qFormat/>
    <w:rsid w:val="0043336e"/>
    <w:rPr>
      <w:rFonts w:ascii="Cambria" w:hAnsi="Cambria"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tyle19" w:customStyle="1">
    <w:name w:val="Цветовое выделение"/>
    <w:qFormat/>
    <w:rsid w:val="00c76375"/>
    <w:rPr>
      <w:b/>
      <w:bCs/>
      <w:color w:val="000080"/>
      <w:sz w:val="20"/>
      <w:szCs w:val="20"/>
    </w:rPr>
  </w:style>
  <w:style w:type="character" w:styleId="Appleconvertedspace" w:customStyle="1">
    <w:name w:val="apple-converted-space"/>
    <w:basedOn w:val="DefaultParagraphFont"/>
    <w:qFormat/>
    <w:rsid w:val="009b031b"/>
    <w:rPr/>
  </w:style>
  <w:style w:type="character" w:styleId="Style20">
    <w:name w:val="Интернет-ссылка"/>
    <w:basedOn w:val="DefaultParagraphFont"/>
    <w:unhideWhenUsed/>
    <w:rsid w:val="008e2099"/>
    <w:rPr>
      <w:color w:val="0000FF" w:themeColor="hyperlink"/>
      <w:u w:val="single"/>
    </w:rPr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2">
    <w:name w:val="Body Text"/>
    <w:basedOn w:val="Normal"/>
    <w:pPr>
      <w:spacing w:lineRule="auto" w:line="276" w:before="0" w:after="140"/>
    </w:pPr>
    <w:rPr/>
  </w:style>
  <w:style w:type="paragraph" w:styleId="Style23">
    <w:name w:val="List"/>
    <w:basedOn w:val="Style22"/>
    <w:pPr/>
    <w:rPr>
      <w:rFonts w:cs="Arial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cs="Arial"/>
    </w:rPr>
  </w:style>
  <w:style w:type="paragraph" w:styleId="Style26">
    <w:name w:val="Верхний и нижний колонтитулы"/>
    <w:basedOn w:val="Normal"/>
    <w:qFormat/>
    <w:pPr/>
    <w:rPr/>
  </w:style>
  <w:style w:type="paragraph" w:styleId="Style27">
    <w:name w:val="Header"/>
    <w:basedOn w:val="Normal"/>
    <w:link w:val="a6"/>
    <w:rsid w:val="000d3657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8">
    <w:name w:val="Footer"/>
    <w:basedOn w:val="Normal"/>
    <w:link w:val="a8"/>
    <w:rsid w:val="000d3657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BalloonText">
    <w:name w:val="Balloon Text"/>
    <w:basedOn w:val="Normal"/>
    <w:link w:val="aa"/>
    <w:qFormat/>
    <w:rsid w:val="002d5270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f34d7"/>
    <w:pPr>
      <w:spacing w:before="0" w:after="0"/>
      <w:ind w:left="720" w:hanging="0"/>
      <w:contextualSpacing/>
    </w:pPr>
    <w:rPr/>
  </w:style>
  <w:style w:type="paragraph" w:styleId="Style29">
    <w:name w:val="Subtitle"/>
    <w:basedOn w:val="Normal"/>
    <w:next w:val="Normal"/>
    <w:link w:val="ae"/>
    <w:qFormat/>
    <w:rsid w:val="0043336e"/>
    <w:pPr/>
    <w:rPr>
      <w:rFonts w:ascii="Cambria" w:hAnsi="Cambria" w:eastAsia="" w:cs="" w:asciiTheme="majorHAnsi" w:cstheme="majorBidi" w:eastAsiaTheme="majorEastAsia" w:hAnsiTheme="majorHAnsi"/>
      <w:i/>
      <w:iCs/>
      <w:color w:val="4F81BD" w:themeColor="accent1"/>
      <w:spacing w:val="15"/>
    </w:rPr>
  </w:style>
  <w:style w:type="paragraph" w:styleId="Style30" w:customStyle="1">
    <w:name w:val="Таблицы (моноширинный)"/>
    <w:basedOn w:val="Normal"/>
    <w:next w:val="Normal"/>
    <w:qFormat/>
    <w:rsid w:val="00c76375"/>
    <w:pPr>
      <w:widowControl w:val="false"/>
      <w:jc w:val="both"/>
    </w:pPr>
    <w:rPr>
      <w:rFonts w:ascii="Courier New" w:hAnsi="Courier New" w:cs="Courier New"/>
      <w:sz w:val="20"/>
      <w:szCs w:val="20"/>
    </w:rPr>
  </w:style>
  <w:style w:type="paragraph" w:styleId="Formattext" w:customStyle="1">
    <w:name w:val="formattext"/>
    <w:basedOn w:val="Normal"/>
    <w:qFormat/>
    <w:rsid w:val="002b1617"/>
    <w:pPr>
      <w:spacing w:beforeAutospacing="1" w:afterAutospacing="1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377291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oleObject" Target="embeddings/oleObject1.bin"/><Relationship Id="rId4" Type="http://schemas.openxmlformats.org/officeDocument/2006/relationships/image" Target="media/image2.png"/><Relationship Id="rId5" Type="http://schemas.openxmlformats.org/officeDocument/2006/relationships/oleObject" Target="embeddings/oleObject2.bin"/><Relationship Id="rId6" Type="http://schemas.openxmlformats.org/officeDocument/2006/relationships/image" Target="media/image3.png"/><Relationship Id="rId7" Type="http://schemas.openxmlformats.org/officeDocument/2006/relationships/oleObject" Target="embeddings/oleObject3.bin"/><Relationship Id="rId8" Type="http://schemas.openxmlformats.org/officeDocument/2006/relationships/image" Target="media/image4.png"/><Relationship Id="rId9" Type="http://schemas.openxmlformats.org/officeDocument/2006/relationships/oleObject" Target="embeddings/oleObject4.bin"/><Relationship Id="rId10" Type="http://schemas.openxmlformats.org/officeDocument/2006/relationships/image" Target="media/image5.png"/><Relationship Id="rId11" Type="http://schemas.openxmlformats.org/officeDocument/2006/relationships/oleObject" Target="embeddings/oleObject5.bin"/><Relationship Id="rId12" Type="http://schemas.openxmlformats.org/officeDocument/2006/relationships/image" Target="media/image6.png"/><Relationship Id="rId13" Type="http://schemas.openxmlformats.org/officeDocument/2006/relationships/image" Target="media/image7.wmf"/><Relationship Id="rId14" Type="http://schemas.openxmlformats.org/officeDocument/2006/relationships/image" Target="media/image8.wmf"/><Relationship Id="rId15" Type="http://schemas.openxmlformats.org/officeDocument/2006/relationships/image" Target="media/image9.wmf"/><Relationship Id="rId16" Type="http://schemas.openxmlformats.org/officeDocument/2006/relationships/image" Target="media/image10.wmf"/><Relationship Id="rId17" Type="http://schemas.openxmlformats.org/officeDocument/2006/relationships/image" Target="media/image11.wmf"/><Relationship Id="rId18" Type="http://schemas.openxmlformats.org/officeDocument/2006/relationships/image" Target="media/image12.wmf"/><Relationship Id="rId19" Type="http://schemas.openxmlformats.org/officeDocument/2006/relationships/image" Target="media/image13.wmf"/><Relationship Id="rId20" Type="http://schemas.openxmlformats.org/officeDocument/2006/relationships/image" Target="media/image14.wmf"/><Relationship Id="rId21" Type="http://schemas.openxmlformats.org/officeDocument/2006/relationships/image" Target="media/image15.wmf"/><Relationship Id="rId22" Type="http://schemas.openxmlformats.org/officeDocument/2006/relationships/image" Target="media/image16.wmf"/><Relationship Id="rId23" Type="http://schemas.openxmlformats.org/officeDocument/2006/relationships/image" Target="media/image17.wmf"/><Relationship Id="rId24" Type="http://schemas.openxmlformats.org/officeDocument/2006/relationships/image" Target="media/image18.wmf"/><Relationship Id="rId25" Type="http://schemas.openxmlformats.org/officeDocument/2006/relationships/image" Target="media/image19.wmf"/><Relationship Id="rId26" Type="http://schemas.openxmlformats.org/officeDocument/2006/relationships/hyperlink" Target="mailto:d@alumet-d.ru" TargetMode="External"/><Relationship Id="rId27" Type="http://schemas.openxmlformats.org/officeDocument/2006/relationships/hyperlink" Target="http://www.alumet.ru/" TargetMode="External"/><Relationship Id="rId28" Type="http://schemas.openxmlformats.org/officeDocument/2006/relationships/numbering" Target="numbering.xml"/><Relationship Id="rId29" Type="http://schemas.openxmlformats.org/officeDocument/2006/relationships/fontTable" Target="fontTable.xml"/><Relationship Id="rId30" Type="http://schemas.openxmlformats.org/officeDocument/2006/relationships/settings" Target="settings.xml"/><Relationship Id="rId31" Type="http://schemas.openxmlformats.org/officeDocument/2006/relationships/theme" Target="theme/theme1.xml"/><Relationship Id="rId3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73C0DA-3004-4C90-94D5-86643CCB0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Application>LibreOffice/6.3.4.2$Windows_x86 LibreOffice_project/60da17e045e08f1793c57c00ba83cdfce946d0aa</Application>
  <Pages>7</Pages>
  <Words>557</Words>
  <Characters>3837</Characters>
  <CharactersWithSpaces>4356</CharactersWithSpaces>
  <Paragraphs>102</Paragraphs>
  <Company>Мир Инструмента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2022-03-01T10:46:00Z</dcterms:created>
  <dc:creator>marketing41</dc:creator>
  <dc:description/>
  <dc:language>ru-RU</dc:language>
  <cp:lastModifiedBy>Ермакова Ирина</cp:lastModifiedBy>
  <cp:lastPrinted>2019-04-04T12:45:00Z</cp:lastPrinted>
  <dcterms:modified xsi:type="dcterms:W3CDTF">2022-03-11T08:08:00Z</dcterms:modified>
  <cp:revision>6</cp:revision>
  <dc:subject/>
  <dc:title>Артикул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Мир Инструмента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