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hdphoto1.wdp" ContentType="image/vnd.ms-photo"/>
  <Override PartName="/word/media/image3.jpeg" ContentType="image/jpeg"/>
  <Override PartName="/word/media/image4.png" ContentType="image/png"/>
  <Override PartName="/word/media/image6.jpeg" ContentType="image/jpeg"/>
  <Override PartName="/word/media/image5.jpeg" ContentType="image/jpeg"/>
  <Override PartName="/word/media/image7.png" ContentType="image/png"/>
  <Override PartName="/word/media/image8.jpeg" ContentType="image/jpeg"/>
  <Override PartName="/word/media/image9.wmf" ContentType="image/x-wmf"/>
  <Override PartName="/word/media/image10.wmf" ContentType="image/x-wmf"/>
  <Override PartName="/word/media/image11.wmf" ContentType="image/x-wmf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  <w:b/>
          <w:b/>
          <w:color w:val="808080" w:themeColor="background1" w:themeShade="80"/>
        </w:rPr>
      </w:pPr>
      <w:r>
        <w:drawing>
          <wp:anchor behindDoc="1" distT="0" distB="0" distL="0" distR="0" simplePos="0" locked="0" layoutInCell="1" allowOverlap="1" relativeHeight="2">
            <wp:simplePos x="0" y="0"/>
            <wp:positionH relativeFrom="margin">
              <wp:posOffset>-213995</wp:posOffset>
            </wp:positionH>
            <wp:positionV relativeFrom="margin">
              <wp:posOffset>-119380</wp:posOffset>
            </wp:positionV>
            <wp:extent cx="7200900" cy="351726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3517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b/>
          <w:color w:val="808080" w:themeColor="background1" w:themeShade="80"/>
          <w:lang w:eastAsia="ru-RU"/>
        </w:rPr>
        <w:t>1</w:t>
      </w:r>
      <w:r>
        <w:rPr>
          <w:rFonts w:cs="Tahoma" w:ascii="Tahoma" w:hAnsi="Tahoma"/>
          <w:b/>
          <w:color w:val="808080" w:themeColor="background1" w:themeShade="80"/>
          <w:lang w:eastAsia="ru-RU"/>
        </w:rPr>
        <w:t>80219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jc w:val="center"/>
        <w:rPr>
          <w:rFonts w:ascii="DaxlineCyrLF-Medium" w:hAnsi="DaxlineCyrLF-Medium"/>
          <w:b/>
          <w:b/>
          <w:sz w:val="48"/>
          <w:szCs w:val="48"/>
        </w:rPr>
      </w:pPr>
      <w:r>
        <w:rPr>
          <w:rFonts w:ascii="DaxlineCyrLF-Medium" w:hAnsi="DaxlineCyrLF-Medium"/>
          <w:b/>
          <w:sz w:val="48"/>
          <w:szCs w:val="48"/>
        </w:rPr>
        <w:t>ДОМКРАТ ВИНТОВОЙ</w:t>
      </w:r>
    </w:p>
    <w:p>
      <w:pPr>
        <w:pStyle w:val="Normal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  <w:r>
        <w:br w:type="page"/>
      </w:r>
    </w:p>
    <w:p>
      <w:pPr>
        <w:pStyle w:val="Normal"/>
        <w:spacing w:before="0" w:after="240"/>
        <w:jc w:val="center"/>
        <w:rPr>
          <w:rFonts w:ascii="Tahoma" w:hAnsi="Tahoma" w:cs="Tahoma"/>
          <w:b/>
          <w:b/>
          <w:sz w:val="18"/>
        </w:rPr>
      </w:pPr>
      <w:r>
        <w:rPr/>
        <w:drawing>
          <wp:inline distT="0" distB="0" distL="0" distR="0">
            <wp:extent cx="3810000" cy="3695700"/>
            <wp:effectExtent l="0" t="0" r="0" b="0"/>
            <wp:docPr id="2" name="Рисунок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69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anchor behindDoc="1" distT="0" distB="0" distL="0" distR="0" simplePos="0" locked="0" layoutInCell="1" allowOverlap="1" relativeHeight="3">
            <wp:simplePos x="0" y="0"/>
            <wp:positionH relativeFrom="margin">
              <wp:posOffset>-164465</wp:posOffset>
            </wp:positionH>
            <wp:positionV relativeFrom="page">
              <wp:posOffset>9594850</wp:posOffset>
            </wp:positionV>
            <wp:extent cx="7200900" cy="1021080"/>
            <wp:effectExtent l="0" t="0" r="0" b="0"/>
            <wp:wrapNone/>
            <wp:docPr id="3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b/>
          <w:sz w:val="18"/>
        </w:rPr>
        <w:t>С</w:t>
      </w:r>
      <w:r>
        <w:rPr>
          <w:rFonts w:cs="Tahoma" w:ascii="Tahoma" w:hAnsi="Tahoma"/>
          <w:b/>
          <w:sz w:val="18"/>
        </w:rPr>
        <w:t>одержание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b/>
          <w:bCs/>
          <w:sz w:val="18"/>
        </w:rPr>
        <w:t>1. Описание и работа</w:t>
      </w:r>
      <w:r>
        <w:rPr>
          <w:rFonts w:cs="Tahoma" w:ascii="Tahoma" w:hAnsi="Tahoma"/>
          <w:sz w:val="18"/>
        </w:rPr>
        <w:t xml:space="preserve"> </w:t>
      </w:r>
    </w:p>
    <w:p>
      <w:pPr>
        <w:pStyle w:val="Normal"/>
        <w:widowControl w:val="false"/>
        <w:rPr>
          <w:rFonts w:ascii="Tahoma" w:hAnsi="Tahoma" w:cs="Tahoma"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1.1. Назначение изделия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Normal"/>
        <w:widowControl w:val="false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bCs/>
          <w:sz w:val="18"/>
        </w:rPr>
        <w:t>1.2. Основные характеристики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Style18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Style18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2.1</w:t>
      </w:r>
      <w:r>
        <w:rPr>
          <w:rFonts w:cs="Tahoma" w:ascii="Tahoma" w:hAnsi="Tahoma"/>
          <w:sz w:val="18"/>
          <w:szCs w:val="18"/>
          <w:u w:val="dotted"/>
        </w:rPr>
        <w:t xml:space="preserve"> </w:t>
      </w:r>
      <w:r>
        <w:rPr>
          <w:rFonts w:cs="Tahoma" w:ascii="Tahoma" w:hAnsi="Tahoma"/>
          <w:sz w:val="18"/>
          <w:szCs w:val="18"/>
        </w:rPr>
        <w:t>Порядок установки, подготовка и работа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3</w:t>
      </w:r>
    </w:p>
    <w:p>
      <w:pPr>
        <w:pStyle w:val="Style18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2.2 Техническое обслуживание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4</w:t>
      </w:r>
    </w:p>
    <w:p>
      <w:pPr>
        <w:pStyle w:val="Style18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2.3 Меры предосторожности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4</w:t>
      </w:r>
    </w:p>
    <w:p>
      <w:pPr>
        <w:pStyle w:val="Style18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3. Гарантийные обязательства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5</w:t>
      </w:r>
    </w:p>
    <w:p>
      <w:pPr>
        <w:pStyle w:val="Style18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bCs/>
          <w:sz w:val="18"/>
        </w:rPr>
        <w:t>Отметки о периодических проверках</w:t>
      </w:r>
      <w:r>
        <w:rPr>
          <w:rFonts w:cs="Tahoma" w:ascii="Tahoma" w:hAnsi="Tahoma"/>
          <w:b/>
          <w:bCs/>
          <w:sz w:val="18"/>
          <w:u w:val="dotted"/>
        </w:rPr>
        <w:t xml:space="preserve"> </w:t>
        <w:tab/>
        <w:tab/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6</w:t>
      </w:r>
    </w:p>
    <w:p>
      <w:pPr>
        <w:pStyle w:val="Style18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spacing w:lineRule="auto" w:line="24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ВНИМАНИЕ!</w:t>
      </w:r>
      <w:r>
        <w:rPr>
          <w:rFonts w:cs="Tahoma" w:ascii="Tahoma" w:hAnsi="Tahoma"/>
          <w:sz w:val="18"/>
          <w:szCs w:val="18"/>
        </w:rPr>
        <w:t xml:space="preserve"> Вся информация, приведенная в данном руководстве, основана на данных, доступных на момент печати. Производитель оставляет за собой право вносить изменения в конструкцию изделия без предварительного уведомления, если эти изменения не ухудшают потребительских свойств и качества продукции. </w:t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 Описание и работа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1.1 Назначение изделия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Механический домкрат, который также называют винтовой домкрат, один из широко применяемых домкратов для поднятия грузов в различных областях: при строительстве, в горнодобывающей промышленности, в автохозяйстве и т.д. </w:t>
      </w:r>
    </w:p>
    <w:p>
      <w:pPr>
        <w:pStyle w:val="Normal"/>
        <w:spacing w:before="0" w:after="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Домкрат имеет преимущество в портативности, легкости обслуживания и работе, а также безопасности использования. 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mc:AlternateContent>
          <mc:Choice Requires="wps">
            <w:drawing>
              <wp:anchor behindDoc="1" distT="0" distB="0" distL="114300" distR="114300" simplePos="0" locked="0" layoutInCell="1" allowOverlap="1" relativeHeight="8" wp14:anchorId="7CF22A05">
                <wp:simplePos x="0" y="0"/>
                <wp:positionH relativeFrom="page">
                  <wp:posOffset>2381250</wp:posOffset>
                </wp:positionH>
                <wp:positionV relativeFrom="page">
                  <wp:posOffset>1552575</wp:posOffset>
                </wp:positionV>
                <wp:extent cx="3353435" cy="3667760"/>
                <wp:effectExtent l="0" t="0" r="0" b="9525"/>
                <wp:wrapTopAndBottom/>
                <wp:docPr id="4" name="Рисунок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 descr=""/>
                        <pic:cNvPicPr/>
                      </pic:nvPicPr>
                      <pic:blipFill>
                        <a:blip r:embed="rId5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6">
                                  <a14:imgEffect>
                                    <a14:brightnessContrast amount="50000" contrast="-40000"/>
                                  </a14:imgEffect>
                                </a14:imgLayer>
                              </a14:imgProps>
                            </a:ext>
                          </a:extLst>
                        </a:blip>
                        <a:stretch/>
                      </pic:blipFill>
                      <pic:spPr>
                        <a:xfrm>
                          <a:off x="0" y="0"/>
                          <a:ext cx="3352680" cy="36669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Рисунок 1" stroked="f" style="position:absolute;margin-left:187.5pt;margin-top:122.25pt;width:263.95pt;height:288.7pt;mso-position-horizontal-relative:page;mso-position-vertical-relative:page" wp14:anchorId="7CF22A05" type="shapetype_75">
                <v:imagedata r:id="rId5" o:detectmouseclick="t"/>
                <w10:wrap type="none"/>
                <v:stroke color="#3465a4" joinstyle="round" endcap="flat"/>
              </v:shape>
            </w:pict>
          </mc:Fallback>
        </mc:AlternateContent>
      </w:r>
      <w:r>
        <w:rPr>
          <w:rFonts w:cs="Tahoma" w:ascii="Tahoma" w:hAnsi="Tahoma"/>
          <w:b/>
          <w:sz w:val="18"/>
          <w:szCs w:val="18"/>
        </w:rPr>
        <w:t>1.2 Основные характеристики</w:t>
      </w:r>
    </w:p>
    <w:p>
      <w:pPr>
        <w:pStyle w:val="Normal"/>
        <w:jc w:val="righ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Рисунок 1.</w:t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15"/>
        <w:gridCol w:w="624"/>
        <w:gridCol w:w="1740"/>
        <w:gridCol w:w="1122"/>
        <w:gridCol w:w="1506"/>
        <w:gridCol w:w="513"/>
        <w:gridCol w:w="549"/>
        <w:gridCol w:w="550"/>
        <w:gridCol w:w="549"/>
        <w:gridCol w:w="1372"/>
        <w:gridCol w:w="1500"/>
      </w:tblGrid>
      <w:tr>
        <w:trPr>
          <w:trHeight w:val="315" w:hRule="atLeast"/>
        </w:trPr>
        <w:tc>
          <w:tcPr>
            <w:tcW w:w="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Артикул</w:t>
            </w:r>
          </w:p>
        </w:tc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Г/п, т</w:t>
            </w:r>
          </w:p>
        </w:tc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Высота подхвата (А), мм</w:t>
            </w:r>
          </w:p>
        </w:tc>
        <w:tc>
          <w:tcPr>
            <w:tcW w:w="1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Ход штока, мм</w:t>
            </w:r>
          </w:p>
        </w:tc>
        <w:tc>
          <w:tcPr>
            <w:tcW w:w="15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Общая высота (В), мм</w:t>
            </w:r>
          </w:p>
        </w:tc>
        <w:tc>
          <w:tcPr>
            <w:tcW w:w="21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Габариты, мм</w:t>
            </w:r>
          </w:p>
        </w:tc>
        <w:tc>
          <w:tcPr>
            <w:tcW w:w="1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Габариты упаковки, мм</w:t>
            </w:r>
          </w:p>
        </w:tc>
        <w:tc>
          <w:tcPr>
            <w:tcW w:w="15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Вес, кг</w:t>
            </w:r>
          </w:p>
        </w:tc>
      </w:tr>
      <w:tr>
        <w:trPr>
          <w:trHeight w:val="166" w:hRule="atLeast"/>
        </w:trPr>
        <w:tc>
          <w:tcPr>
            <w:tcW w:w="91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  <w:tc>
          <w:tcPr>
            <w:tcW w:w="62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  <w:tc>
          <w:tcPr>
            <w:tcW w:w="174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  <w:tc>
          <w:tcPr>
            <w:tcW w:w="112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  <w:tc>
          <w:tcPr>
            <w:tcW w:w="150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ØЕ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Ø</w:t>
            </w:r>
            <w:r>
              <w:rPr>
                <w:rFonts w:cs="Tahoma" w:ascii="Tahoma" w:hAnsi="Tahoma"/>
                <w:b/>
                <w:sz w:val="16"/>
                <w:szCs w:val="16"/>
                <w:lang w:val="en-US"/>
              </w:rPr>
              <w:t>D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b/>
                <w:sz w:val="16"/>
                <w:szCs w:val="16"/>
                <w:lang w:val="en-US"/>
              </w:rPr>
              <w:t>C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b/>
                <w:sz w:val="16"/>
                <w:szCs w:val="16"/>
                <w:lang w:val="en-US"/>
              </w:rPr>
              <w:t>F</w:t>
            </w:r>
          </w:p>
        </w:tc>
        <w:tc>
          <w:tcPr>
            <w:tcW w:w="137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  <w:tc>
          <w:tcPr>
            <w:tcW w:w="150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D9D9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</w:r>
          </w:p>
        </w:tc>
      </w:tr>
      <w:tr>
        <w:trPr>
          <w:trHeight w:val="198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12631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3,2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215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115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330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45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90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420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460*150*240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 xml:space="preserve">4 </w:t>
            </w:r>
          </w:p>
        </w:tc>
      </w:tr>
      <w:tr>
        <w:trPr>
          <w:trHeight w:val="232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12651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245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140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380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100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140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470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500*150*265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 xml:space="preserve">4,5 </w:t>
            </w:r>
          </w:p>
        </w:tc>
      </w:tr>
      <w:tr>
        <w:trPr>
          <w:trHeight w:val="208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126101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270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155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430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60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110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145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415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480*165*290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7</w:t>
            </w:r>
          </w:p>
        </w:tc>
      </w:tr>
      <w:tr>
        <w:trPr>
          <w:trHeight w:val="162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126201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320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185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500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65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160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510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550*360*220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10</w:t>
            </w:r>
          </w:p>
        </w:tc>
      </w:tr>
      <w:tr>
        <w:trPr>
          <w:trHeight w:val="299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126321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32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390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205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595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75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145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180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630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440*430*240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8"/>
                <w:szCs w:val="18"/>
              </w:rPr>
              <w:t>17</w:t>
            </w:r>
          </w:p>
        </w:tc>
      </w:tr>
      <w:tr>
        <w:trPr>
          <w:trHeight w:val="214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126501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50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440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260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700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110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180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220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960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490*330*270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31</w:t>
            </w:r>
          </w:p>
        </w:tc>
      </w:tr>
      <w:tr>
        <w:trPr>
          <w:trHeight w:val="132" w:hRule="atLeast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1261001</w:t>
            </w:r>
          </w:p>
        </w:tc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100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450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210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660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120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230</w:t>
            </w:r>
          </w:p>
        </w:tc>
        <w:tc>
          <w:tcPr>
            <w:tcW w:w="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270</w:t>
            </w:r>
          </w:p>
        </w:tc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Style w:val="Val"/>
                <w:rFonts w:ascii="Tahoma" w:hAnsi="Tahoma" w:cs="Tahoma"/>
                <w:sz w:val="18"/>
                <w:szCs w:val="18"/>
              </w:rPr>
            </w:pPr>
            <w:r>
              <w:rPr>
                <w:rStyle w:val="Val"/>
                <w:rFonts w:cs="Tahoma" w:ascii="Tahoma" w:hAnsi="Tahoma"/>
                <w:sz w:val="18"/>
                <w:szCs w:val="18"/>
              </w:rPr>
              <w:t>810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380*300*500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65</w:t>
            </w:r>
          </w:p>
        </w:tc>
      </w:tr>
    </w:tbl>
    <w:p>
      <w:pPr>
        <w:pStyle w:val="Normal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Дата продажи:                                    МП:                            Кол-во:           шт</w:t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Принцип работы домкрата</w:t>
      </w:r>
      <w:r>
        <w:rPr>
          <w:rFonts w:cs="Tahoma" w:ascii="Tahoma" w:hAnsi="Tahoma"/>
          <w:sz w:val="18"/>
          <w:szCs w:val="18"/>
        </w:rPr>
        <w:t xml:space="preserve"> - с помощью взмаха трещотки (храповика) приводится в действие малая коническая шестерня, она в свою очередь заставляет вращаться винт, который приводит в действие (толкает) рукав подъема. 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drawing>
          <wp:anchor behindDoc="1" distT="0" distB="0" distL="0" distR="0" simplePos="0" locked="0" layoutInCell="1" allowOverlap="1" relativeHeight="11">
            <wp:simplePos x="0" y="0"/>
            <wp:positionH relativeFrom="column">
              <wp:posOffset>344805</wp:posOffset>
            </wp:positionH>
            <wp:positionV relativeFrom="paragraph">
              <wp:posOffset>10795</wp:posOffset>
            </wp:positionV>
            <wp:extent cx="3086100" cy="1950720"/>
            <wp:effectExtent l="0" t="0" r="0" b="0"/>
            <wp:wrapNone/>
            <wp:docPr id="5" name="Picture 7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77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12">
            <wp:simplePos x="0" y="0"/>
            <wp:positionH relativeFrom="margin">
              <wp:posOffset>3621405</wp:posOffset>
            </wp:positionH>
            <wp:positionV relativeFrom="paragraph">
              <wp:posOffset>22225</wp:posOffset>
            </wp:positionV>
            <wp:extent cx="2857500" cy="1905000"/>
            <wp:effectExtent l="0" t="0" r="0" b="0"/>
            <wp:wrapNone/>
            <wp:docPr id="6" name="Picture 8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87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ind w:firstLine="1276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Рисунок 1. Домкрат винтовой 25 т и меньше.</w:t>
        <w:tab/>
        <w:tab/>
        <w:t xml:space="preserve"> Рисунок 2. Домкрат 32 т и более.</w:t>
      </w:r>
    </w:p>
    <w:tbl>
      <w:tblPr>
        <w:tblStyle w:val="TableGrid"/>
        <w:tblW w:w="6232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115"/>
        <w:gridCol w:w="3116"/>
      </w:tblGrid>
      <w:tr>
        <w:trPr/>
        <w:tc>
          <w:tcPr>
            <w:tcW w:w="311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1. Крышка</w:t>
            </w:r>
          </w:p>
        </w:tc>
        <w:tc>
          <w:tcPr>
            <w:tcW w:w="311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7. Большая коническая шестерня</w:t>
            </w:r>
          </w:p>
        </w:tc>
      </w:tr>
      <w:tr>
        <w:trPr/>
        <w:tc>
          <w:tcPr>
            <w:tcW w:w="311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2 Рукав подъема</w:t>
            </w:r>
          </w:p>
        </w:tc>
        <w:tc>
          <w:tcPr>
            <w:tcW w:w="311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8. Основание</w:t>
            </w:r>
          </w:p>
        </w:tc>
      </w:tr>
      <w:tr>
        <w:trPr/>
        <w:tc>
          <w:tcPr>
            <w:tcW w:w="311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3. Винт</w:t>
            </w:r>
          </w:p>
        </w:tc>
        <w:tc>
          <w:tcPr>
            <w:tcW w:w="311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9. Ручка</w:t>
            </w:r>
          </w:p>
        </w:tc>
      </w:tr>
      <w:tr>
        <w:trPr/>
        <w:tc>
          <w:tcPr>
            <w:tcW w:w="311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4. Корпус</w:t>
            </w:r>
          </w:p>
        </w:tc>
        <w:tc>
          <w:tcPr>
            <w:tcW w:w="311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10. Опорная планка</w:t>
            </w:r>
          </w:p>
        </w:tc>
      </w:tr>
      <w:tr>
        <w:trPr/>
        <w:tc>
          <w:tcPr>
            <w:tcW w:w="311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5. Храповик (трещетка)</w:t>
            </w:r>
          </w:p>
        </w:tc>
        <w:tc>
          <w:tcPr>
            <w:tcW w:w="311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11. Толкатель (собачка)</w:t>
            </w:r>
          </w:p>
        </w:tc>
      </w:tr>
      <w:tr>
        <w:trPr/>
        <w:tc>
          <w:tcPr>
            <w:tcW w:w="311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  <w:t>6. Малая коническая шестерня</w:t>
            </w:r>
          </w:p>
        </w:tc>
        <w:tc>
          <w:tcPr>
            <w:tcW w:w="3116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eastAsia="" w:cs="Tahoma" w:eastAsiaTheme="minorEastAsia"/>
                <w:sz w:val="18"/>
                <w:szCs w:val="18"/>
                <w:lang w:eastAsia="ru-RU"/>
              </w:rPr>
            </w:pPr>
            <w:r>
              <w:rPr>
                <w:rFonts w:eastAsia="" w:cs="Tahoma" w:eastAsiaTheme="minorEastAsia" w:ascii="Tahoma" w:hAnsi="Tahoma"/>
                <w:sz w:val="18"/>
                <w:szCs w:val="18"/>
                <w:lang w:eastAsia="ru-RU"/>
              </w:rPr>
            </w:r>
          </w:p>
        </w:tc>
      </w:tr>
    </w:tbl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2.1 Порядок установки, подготовка и работа</w:t>
      </w:r>
    </w:p>
    <w:p>
      <w:pPr>
        <w:pStyle w:val="Normal"/>
        <w:spacing w:lineRule="auto" w:line="240" w:before="0" w:after="0"/>
        <w:ind w:firstLine="709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Проверьте домкрат на наличие дефектов перед применением, смажьте его маслом если требуется. До начала работы оцените вес поднимаемого объекта, затем выберете нужный по грузоподъемности домкрат. </w:t>
      </w:r>
    </w:p>
    <w:p>
      <w:pPr>
        <w:pStyle w:val="Normal"/>
        <w:spacing w:before="0" w:after="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ЗАПРЕЩАЕТСЯ</w:t>
      </w:r>
      <w:r>
        <w:rPr>
          <w:rFonts w:cs="Tahoma" w:ascii="Tahoma" w:hAnsi="Tahoma"/>
          <w:sz w:val="18"/>
          <w:szCs w:val="18"/>
        </w:rPr>
        <w:t xml:space="preserve"> работать с перегрузом.</w:t>
      </w:r>
    </w:p>
    <w:p>
      <w:pPr>
        <w:pStyle w:val="Normal"/>
        <w:spacing w:lineRule="auto" w:line="240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Отрегулируйте опорную планку (10) или толкатель на трещотке (храповик) перед использованием домкрата. Вращайте трещотку по часовой стрелке для быстрого поднятия подъемного рукава. Затем поместите рычаг в отверстие храповика, двигайте рычагом вверх и вниз, для поднятия груза. Прекратите подъем груза, когда увидите на штоке красную линию. Для опускания груза поверните опорную планку или толкатель (собачку) в противоположное положение, затем вращайте трещотку.</w:t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mc:AlternateContent>
          <mc:Choice Requires="wps">
            <w:drawing>
              <wp:anchor behindDoc="1" distT="0" distB="0" distL="0" distR="0" simplePos="0" locked="0" layoutInCell="1" allowOverlap="1" relativeHeight="5" wp14:anchorId="65047BEB">
                <wp:simplePos x="0" y="0"/>
                <wp:positionH relativeFrom="column">
                  <wp:posOffset>684530</wp:posOffset>
                </wp:positionH>
                <wp:positionV relativeFrom="paragraph">
                  <wp:posOffset>5080</wp:posOffset>
                </wp:positionV>
                <wp:extent cx="60325" cy="262890"/>
                <wp:effectExtent l="0" t="0" r="0" b="0"/>
                <wp:wrapNone/>
                <wp:docPr id="7" name="Rectangle 22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60" cy="262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5"/>
                              <w:spacing w:lineRule="auto" w:line="276" w:before="0" w:after="160"/>
                              <w:rPr/>
                            </w:pPr>
                            <w:r>
                              <w:rPr/>
                              <w:t xml:space="preserve"> 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Rectangle 224" stroked="f" style="position:absolute;margin-left:53.9pt;margin-top:0.4pt;width:4.65pt;height:20.6pt" wp14:anchorId="65047BEB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5"/>
                        <w:spacing w:lineRule="auto" w:line="276" w:before="0" w:after="160"/>
                        <w:rPr/>
                      </w:pPr>
                      <w:r>
                        <w:rPr/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1" distT="0" distB="0" distL="0" distR="0" simplePos="0" locked="0" layoutInCell="1" allowOverlap="1" relativeHeight="6">
            <wp:simplePos x="0" y="0"/>
            <wp:positionH relativeFrom="column">
              <wp:posOffset>1130935</wp:posOffset>
            </wp:positionH>
            <wp:positionV relativeFrom="paragraph">
              <wp:posOffset>6350</wp:posOffset>
            </wp:positionV>
            <wp:extent cx="1607185" cy="1950720"/>
            <wp:effectExtent l="0" t="0" r="0" b="0"/>
            <wp:wrapNone/>
            <wp:docPr id="9" name="Picture 22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225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185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7">
            <wp:simplePos x="0" y="0"/>
            <wp:positionH relativeFrom="column">
              <wp:posOffset>3992880</wp:posOffset>
            </wp:positionH>
            <wp:positionV relativeFrom="paragraph">
              <wp:posOffset>8890</wp:posOffset>
            </wp:positionV>
            <wp:extent cx="1597660" cy="1962150"/>
            <wp:effectExtent l="0" t="0" r="0" b="0"/>
            <wp:wrapNone/>
            <wp:docPr id="10" name="Picture 23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30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766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76" w:before="0" w:after="12"/>
        <w:ind w:left="1701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Рисунок 3. Домкрат без груза. </w:t>
        <w:tab/>
        <w:tab/>
        <w:tab/>
        <w:t>Рисунок 4. Домкрат с грузом.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2.2 Техническое обслуживание</w:t>
      </w:r>
    </w:p>
    <w:p>
      <w:pPr>
        <w:pStyle w:val="Normal"/>
        <w:spacing w:before="0" w:after="0"/>
        <w:ind w:firstLine="709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Техническое обслуживание необходимо для поддержания домкрата в постоянной технической исправности.</w:t>
      </w:r>
    </w:p>
    <w:p>
      <w:pPr>
        <w:pStyle w:val="Normal"/>
        <w:spacing w:lineRule="auto" w:line="240"/>
        <w:ind w:firstLine="709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Технический уход за домкратом включает его визуальный осмотр (проверяется качество затяжки резьбовых соединений, проверяется состояние рабочей поверхности штока) и смазку основных узлов. Царапины, сколы и другие дефекты поверхности не допускаются. Хранить в закрытом неотапливаемом помещении, влажность воздуха не должна превышать 70%. Рекомендуется использовать твердые смазки типа ЛИТОЛ, ЦИАТИМ. 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2.3 Меры предосторожности</w:t>
      </w:r>
    </w:p>
    <w:p>
      <w:pPr>
        <w:pStyle w:val="ListParagraph"/>
        <w:numPr>
          <w:ilvl w:val="0"/>
          <w:numId w:val="1"/>
        </w:numPr>
        <w:tabs>
          <w:tab w:val="clear" w:pos="708"/>
        </w:tabs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Использовать домкрат только по назначению – для поднятия груза;</w:t>
      </w:r>
    </w:p>
    <w:p>
      <w:pPr>
        <w:pStyle w:val="ListParagraph"/>
        <w:numPr>
          <w:ilvl w:val="0"/>
          <w:numId w:val="1"/>
        </w:numPr>
        <w:tabs>
          <w:tab w:val="clear" w:pos="708"/>
        </w:tabs>
        <w:spacing w:lineRule="auto" w:line="240" w:before="0" w:after="0"/>
        <w:ind w:left="1134" w:hanging="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При работе домкрат должен стоять на прочной и ровной поверхности;</w:t>
      </w:r>
    </w:p>
    <w:p>
      <w:pPr>
        <w:pStyle w:val="ListParagraph"/>
        <w:numPr>
          <w:ilvl w:val="0"/>
          <w:numId w:val="1"/>
        </w:numPr>
        <w:tabs>
          <w:tab w:val="clear" w:pos="708"/>
        </w:tabs>
        <w:spacing w:lineRule="auto" w:line="24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Закрепляйте колеса и используйте дополнительные средства безопасности, например, подпорки, которые удерживают транспортное средство на высоте во время проведения ремонта.</w:t>
      </w:r>
    </w:p>
    <w:p>
      <w:pPr>
        <w:pStyle w:val="Normal"/>
        <w:spacing w:before="0" w:after="0"/>
        <w:ind w:left="1134" w:hanging="0"/>
        <w:jc w:val="both"/>
        <w:rPr>
          <w:rFonts w:ascii="Tahoma" w:hAnsi="Tahoma" w:cs="Tahoma"/>
          <w:b/>
          <w:b/>
          <w:bCs/>
          <w:sz w:val="18"/>
          <w:szCs w:val="18"/>
        </w:rPr>
      </w:pPr>
      <w:r>
        <w:rPr>
          <w:rFonts w:cs="Tahoma" w:ascii="Tahoma" w:hAnsi="Tahoma"/>
          <w:b/>
          <w:bCs/>
          <w:sz w:val="18"/>
          <w:szCs w:val="18"/>
        </w:rPr>
      </w:r>
    </w:p>
    <w:p>
      <w:pPr>
        <w:pStyle w:val="Normal"/>
        <w:spacing w:before="0" w:after="0"/>
        <w:ind w:left="1134" w:hanging="0"/>
        <w:jc w:val="both"/>
        <w:rPr>
          <w:rFonts w:ascii="Tahoma" w:hAnsi="Tahoma" w:cs="Tahoma"/>
          <w:b/>
          <w:b/>
          <w:bCs/>
          <w:sz w:val="18"/>
          <w:szCs w:val="18"/>
        </w:rPr>
      </w:pPr>
      <w:r>
        <w:rPr>
          <w:rFonts w:cs="Tahoma" w:ascii="Tahoma" w:hAnsi="Tahoma"/>
          <w:b/>
          <w:bCs/>
          <w:sz w:val="18"/>
          <w:szCs w:val="18"/>
        </w:rPr>
      </w:r>
    </w:p>
    <w:p>
      <w:pPr>
        <w:pStyle w:val="Normal"/>
        <w:spacing w:before="0" w:after="0"/>
        <w:ind w:left="1134" w:hanging="0"/>
        <w:jc w:val="both"/>
        <w:rPr>
          <w:rFonts w:ascii="Tahoma" w:hAnsi="Tahoma" w:cs="Tahoma"/>
          <w:b/>
          <w:b/>
          <w:bCs/>
          <w:sz w:val="18"/>
          <w:szCs w:val="18"/>
        </w:rPr>
      </w:pPr>
      <w:r>
        <w:rPr>
          <w:rFonts w:cs="Tahoma" w:ascii="Tahoma" w:hAnsi="Tahoma"/>
          <w:b/>
          <w:bCs/>
          <w:sz w:val="18"/>
          <w:szCs w:val="18"/>
        </w:rPr>
      </w:r>
    </w:p>
    <w:p>
      <w:pPr>
        <w:pStyle w:val="Normal"/>
        <w:spacing w:before="0" w:after="0"/>
        <w:ind w:left="1134" w:hanging="0"/>
        <w:jc w:val="both"/>
        <w:rPr>
          <w:rFonts w:ascii="Tahoma" w:hAnsi="Tahoma" w:cs="Tahoma"/>
          <w:b/>
          <w:b/>
          <w:bCs/>
          <w:sz w:val="18"/>
          <w:szCs w:val="18"/>
        </w:rPr>
      </w:pPr>
      <w:r>
        <w:rPr>
          <w:rFonts w:cs="Tahoma" w:ascii="Tahoma" w:hAnsi="Tahoma"/>
          <w:b/>
          <w:bCs/>
          <w:sz w:val="18"/>
          <w:szCs w:val="18"/>
        </w:rPr>
      </w:r>
    </w:p>
    <w:p>
      <w:pPr>
        <w:pStyle w:val="Normal"/>
        <w:spacing w:before="0" w:after="0"/>
        <w:ind w:left="1134" w:hanging="0"/>
        <w:jc w:val="both"/>
        <w:rPr>
          <w:rFonts w:ascii="Tahoma" w:hAnsi="Tahoma" w:cs="Tahoma"/>
          <w:b/>
          <w:b/>
          <w:bCs/>
          <w:sz w:val="18"/>
          <w:szCs w:val="18"/>
        </w:rPr>
      </w:pPr>
      <w:r>
        <w:rPr>
          <w:rFonts w:cs="Tahoma" w:ascii="Tahoma" w:hAnsi="Tahoma"/>
          <w:b/>
          <w:bCs/>
          <w:sz w:val="18"/>
          <w:szCs w:val="18"/>
        </w:rPr>
      </w:r>
    </w:p>
    <w:p>
      <w:pPr>
        <w:pStyle w:val="Normal"/>
        <w:spacing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b/>
          <w:bCs/>
          <w:sz w:val="18"/>
          <w:szCs w:val="18"/>
        </w:rPr>
        <w:t>Запрещается: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эксплуатировать неисправный домкрат;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drawing>
          <wp:anchor behindDoc="0" distT="0" distB="0" distL="0" distR="0" simplePos="0" locked="0" layoutInCell="1" allowOverlap="1" relativeHeight="4">
            <wp:simplePos x="0" y="0"/>
            <wp:positionH relativeFrom="column">
              <wp:posOffset>13335</wp:posOffset>
            </wp:positionH>
            <wp:positionV relativeFrom="paragraph">
              <wp:posOffset>8255</wp:posOffset>
            </wp:positionV>
            <wp:extent cx="584200" cy="519430"/>
            <wp:effectExtent l="0" t="0" r="0" b="0"/>
            <wp:wrapNone/>
            <wp:docPr id="11" name="Рисунок 2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2" descr="ACHTUNG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sz w:val="18"/>
          <w:szCs w:val="18"/>
        </w:rPr>
        <w:t>э</w:t>
      </w:r>
      <w:r>
        <w:rPr>
          <w:rFonts w:cs="Tahoma" w:ascii="Tahoma" w:hAnsi="Tahoma"/>
          <w:sz w:val="18"/>
          <w:szCs w:val="18"/>
        </w:rPr>
        <w:t>ксплуатировать домкрат в горизонтальном или наклонном положении;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эксплуатировать домкрат на нагрузках, превышающих грузоподъемность, указанную на домкрате; 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выдвигать шток на величину большую, чем указанную в таблице;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эксплуатировать домкрат в условиях сильного загрязнения (пыль, грязь, песок и т. д.) без дополнительных мер по защите, производить подъем и спуск груза, если под ним находятся люди;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наносить удары по домкрату;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оставлять домкрат с поднятым грузом без надзора, выравнивать груз на весу;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134" w:hanging="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эксплуатировать домкрат необученному персоналу, проводить ремонт механизма при поднятом грузе. 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3. Гарантийные обязательства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Оборудование марки </w:t>
      </w:r>
      <w:r>
        <w:rPr>
          <w:rFonts w:cs="Tahoma" w:ascii="Tahoma" w:hAnsi="Tahoma"/>
          <w:color w:val="000000"/>
          <w:sz w:val="18"/>
          <w:szCs w:val="18"/>
          <w:lang w:val="en-US"/>
        </w:rPr>
        <w:t>TOR</w:t>
      </w:r>
      <w:r>
        <w:rPr>
          <w:rFonts w:cs="Tahoma" w:ascii="Tahoma" w:hAnsi="Tahoma"/>
          <w:color w:val="000000"/>
          <w:sz w:val="18"/>
          <w:szCs w:val="18"/>
        </w:rPr>
        <w:t xml:space="preserve">, представленное в России и странах Таможенного союза, полностью соответствует Техническому регламенту Таможенного союза ТР ТС 010/2011 «О безопасности машин и оборудования», что подтверждается декларациями соответствия. 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Продукция, поставляемая на рынок стран Европейского союза, соответствует требованиям качества </w:t>
      </w:r>
      <w:r>
        <w:rPr>
          <w:rFonts w:cs="Tahoma" w:ascii="Tahoma" w:hAnsi="Tahoma"/>
          <w:color w:val="000000"/>
          <w:sz w:val="18"/>
          <w:szCs w:val="18"/>
          <w:lang w:val="en-US"/>
        </w:rPr>
        <w:t>Directive</w:t>
      </w:r>
      <w:r>
        <w:rPr>
          <w:rFonts w:cs="Tahoma" w:ascii="Tahoma" w:hAnsi="Tahoma"/>
          <w:color w:val="000000"/>
          <w:sz w:val="18"/>
          <w:szCs w:val="18"/>
        </w:rPr>
        <w:t xml:space="preserve"> 2006/42/</w:t>
      </w:r>
      <w:r>
        <w:rPr>
          <w:rFonts w:cs="Tahoma" w:ascii="Tahoma" w:hAnsi="Tahoma"/>
          <w:color w:val="000000"/>
          <w:sz w:val="18"/>
          <w:szCs w:val="18"/>
          <w:lang w:val="en-US"/>
        </w:rPr>
        <w:t>EC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on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Machinery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Factsheet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for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Machinery</w:t>
      </w:r>
      <w:r>
        <w:rPr>
          <w:rFonts w:cs="Tahoma" w:ascii="Tahoma" w:hAnsi="Tahoma"/>
          <w:color w:val="000000"/>
          <w:sz w:val="18"/>
          <w:szCs w:val="18"/>
        </w:rPr>
        <w:t xml:space="preserve"> и имеет сертификат </w:t>
      </w:r>
      <w:r>
        <w:rPr>
          <w:rFonts w:cs="Tahoma" w:ascii="Tahoma" w:hAnsi="Tahoma"/>
          <w:color w:val="000000"/>
          <w:sz w:val="18"/>
          <w:szCs w:val="18"/>
          <w:lang w:val="en-US"/>
        </w:rPr>
        <w:t>CE</w:t>
      </w:r>
      <w:r>
        <w:rPr>
          <w:rFonts w:cs="Tahoma" w:ascii="Tahoma" w:hAnsi="Tahoma"/>
          <w:color w:val="000000"/>
          <w:sz w:val="18"/>
          <w:szCs w:val="18"/>
        </w:rPr>
        <w:t>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Система управления качеством </w:t>
      </w:r>
      <w:r>
        <w:rPr>
          <w:rFonts w:cs="Tahoma" w:ascii="Tahoma" w:hAnsi="Tahoma"/>
          <w:color w:val="000000"/>
          <w:sz w:val="18"/>
          <w:szCs w:val="18"/>
          <w:lang w:val="en-US"/>
        </w:rPr>
        <w:t>TOR</w:t>
      </w:r>
      <w:r>
        <w:rPr>
          <w:rFonts w:cs="Tahoma" w:ascii="Tahoma" w:hAnsi="Tahoma"/>
          <w:color w:val="000000"/>
          <w:sz w:val="18"/>
          <w:szCs w:val="18"/>
        </w:rPr>
        <w:t xml:space="preserve"> </w:t>
      </w:r>
      <w:r>
        <w:rPr>
          <w:rFonts w:cs="Tahoma" w:ascii="Tahoma" w:hAnsi="Tahoma"/>
          <w:color w:val="000000"/>
          <w:sz w:val="18"/>
          <w:szCs w:val="18"/>
          <w:lang w:val="en-US"/>
        </w:rPr>
        <w:t>industries</w:t>
      </w:r>
      <w:r>
        <w:rPr>
          <w:rFonts w:cs="Tahoma" w:ascii="Tahoma" w:hAnsi="Tahoma"/>
          <w:color w:val="000000"/>
          <w:sz w:val="18"/>
          <w:szCs w:val="18"/>
        </w:rPr>
        <w:t xml:space="preserve"> контролирует каждый этап производства в независимости от географического расположения площадки. Большинство наших производственных площадок сертифицированы по стандарту </w:t>
      </w:r>
      <w:r>
        <w:rPr>
          <w:rFonts w:cs="Tahoma" w:ascii="Tahoma" w:hAnsi="Tahoma"/>
          <w:color w:val="000000"/>
          <w:sz w:val="18"/>
          <w:szCs w:val="18"/>
          <w:lang w:val="en-US"/>
        </w:rPr>
        <w:t>ISO</w:t>
      </w:r>
      <w:r>
        <w:rPr>
          <w:rFonts w:cs="Tahoma" w:ascii="Tahoma" w:hAnsi="Tahoma"/>
          <w:color w:val="000000"/>
          <w:sz w:val="18"/>
          <w:szCs w:val="18"/>
        </w:rPr>
        <w:t xml:space="preserve"> 9001:2008.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>Всю необходимую документацию на продукцию можно получить, обратившись в филиал или к представителю/дилеру в вашем регионе/стране.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Гарантийный срок устанавливается 12 месяцев со дня </w:t>
      </w:r>
      <w:r>
        <w:rPr>
          <w:rFonts w:cs="Tahoma" w:ascii="Tahoma" w:hAnsi="Tahoma"/>
          <w:sz w:val="18"/>
          <w:szCs w:val="18"/>
        </w:rPr>
        <w:t>продажи конечному потребителю</w:t>
      </w:r>
      <w:r>
        <w:rPr>
          <w:rFonts w:cs="Tahoma" w:ascii="Tahoma" w:hAnsi="Tahoma"/>
          <w:color w:val="000000"/>
          <w:sz w:val="18"/>
          <w:szCs w:val="18"/>
        </w:rPr>
        <w:t xml:space="preserve">, но не более 30 месяцев со дня изготовления. </w:t>
      </w:r>
    </w:p>
    <w:p>
      <w:pPr>
        <w:pStyle w:val="Normal"/>
        <w:spacing w:before="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ГАРАНТИИ НЕ РАСПРОСТРАНЯЮТСЯ НА: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Детали, подверженные рабочему и другим видам естественного износа, а также на неисправности оборудования, вызванные этими видами износа.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9">
            <wp:simplePos x="0" y="0"/>
            <wp:positionH relativeFrom="column">
              <wp:posOffset>-57150</wp:posOffset>
            </wp:positionH>
            <wp:positionV relativeFrom="paragraph">
              <wp:posOffset>400685</wp:posOffset>
            </wp:positionV>
            <wp:extent cx="584200" cy="519430"/>
            <wp:effectExtent l="0" t="0" r="0" b="0"/>
            <wp:wrapNone/>
            <wp:docPr id="12" name="Рисунок 7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7" descr="ACHTUNG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Н</w:t>
      </w:r>
      <w:r>
        <w:rPr>
          <w:rFonts w:eastAsia="Times New Roman" w:cs="Tahoma" w:ascii="Tahoma" w:hAnsi="Tahoma"/>
          <w:sz w:val="18"/>
          <w:szCs w:val="18"/>
          <w:lang w:eastAsia="ru-RU"/>
        </w:rPr>
        <w:t>еисправности оборудования, вызванные несоблюдением инструкций по эксплуатации или произошедшие вследствие использования оборудования не по назначению, во время использования при ненормативных условиях окружающей среды, ненадлежащих производственных условий, в следствие перегрузок или недостаточного, ненадлежащего технического обслуживания или ухода.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использовании оборудования, относящегося к бытовому классу, в условиях высокой интенсивности работ и тяжелых нагрузок.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 профилактическое и техническое обслуживание оборудования, например, смазку, промывку, замену масла.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 механические повреждения (трещины, сколы и т.д.) и повреждения, вызванные воздействием агрессивных сред, высокой влажности и высоких температур, попаданием инородных предметов в вентиляционные отверстия электрооборудования, а также повреждения, наступившие в следствие неправильного хранения и коррозии металлических частей.</w:t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360" w:leader="none"/>
        </w:tabs>
        <w:spacing w:lineRule="auto" w:line="240" w:before="0" w:afterAutospacing="1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Оборудование, в конструкцию которого были внесены изменения или дополнения.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В целях определения причин отказа и/или характера повреждений изделия производиться техническая экспертиза сроком 10 рабочих дней с момента поступления оборудования на диагностику. По результатам экспертизы принимается решение о замене/ремонте изделия. При этом изделие принимается на экспертизу только в полной комплектации, при наличии паспорта с отметкой о дате продажи и штампом организации-продавца. </w:t>
      </w:r>
    </w:p>
    <w:p>
      <w:pPr>
        <w:pStyle w:val="Normal"/>
        <w:spacing w:lineRule="auto" w:line="24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>Срок консервации 3 года.</w:t>
      </w:r>
    </w:p>
    <w:p>
      <w:pPr>
        <w:pStyle w:val="Normal"/>
        <w:spacing w:lineRule="auto" w:line="240" w:before="0" w:after="0"/>
        <w:jc w:val="both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>Порядок подачи рекламаций: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Гарантийные рекламации принимаются в течение гарантийного срока. Для этого запросите у организации, в которой вы приобрели оборудование, бланк для рекламации и инструкцию по подаче рекламации. 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В случае действия расширенной гарантии, к рекламации следует приложить гарантийный сертификат расширенной гарантии. 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Оборудование, отосланное дилеру или в сервисный центр в частично или полностью разобранном виде, под действие гарантии не подпадает. Все риски по пересылке оборудования дилеру или в сервисный центр несет владелец оборудования. 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Другие претензии, кроме права на бесплатное устранение недостатков оборудования, под действие гарантии не подпадают. </w:t>
      </w:r>
    </w:p>
    <w:p>
      <w:pPr>
        <w:pStyle w:val="ListParagraph"/>
        <w:numPr>
          <w:ilvl w:val="0"/>
          <w:numId w:val="3"/>
        </w:numPr>
        <w:spacing w:lineRule="auto" w:line="240"/>
        <w:ind w:left="1134" w:hanging="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После гарантийного ремонта на условиях расширенной гарантии, срок расширенной гарантии оборудования не продлевается и не возобновляется.</w:t>
      </w:r>
    </w:p>
    <w:p>
      <w:pPr>
        <w:pStyle w:val="ListParagraph"/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32" w:before="240" w:after="0"/>
        <w:ind w:left="40" w:right="-15" w:hanging="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РАСШИРЕННАЯ ГАРАНТИЯ!</w:t>
      </w:r>
    </w:p>
    <w:p>
      <w:pPr>
        <w:pStyle w:val="Normal"/>
        <w:spacing w:lineRule="auto" w:line="232" w:before="0" w:after="35"/>
        <w:ind w:left="40" w:right="-15" w:firstLine="52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Для данного оборудования (Домкрат винтовой</w:t>
      </w:r>
      <w:bookmarkStart w:id="0" w:name="_GoBack"/>
      <w:bookmarkEnd w:id="0"/>
      <w:r>
        <w:rPr>
          <w:rFonts w:cs="Tahoma" w:ascii="Tahoma" w:hAnsi="Tahoma"/>
          <w:sz w:val="18"/>
          <w:szCs w:val="18"/>
        </w:rPr>
        <w:t xml:space="preserve">) есть возможность продлить срок гарантии на 1 (один) год. </w:t>
      </w:r>
    </w:p>
    <w:p>
      <w:pPr>
        <w:pStyle w:val="NormalWeb"/>
        <w:spacing w:beforeAutospacing="0" w:before="0" w:afterAutospacing="0" w:after="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 xml:space="preserve">Для этого зарегистрируйте оборудование в течении 60 дней со дня приобретения на официальном сайте группы компаний </w:t>
      </w:r>
      <w:r>
        <w:rPr>
          <w:rFonts w:cs="Tahoma" w:ascii="Tahoma" w:hAnsi="Tahoma"/>
          <w:sz w:val="18"/>
          <w:szCs w:val="18"/>
          <w:lang w:val="en-US"/>
        </w:rPr>
        <w:t>TOR</w:t>
      </w:r>
      <w:r>
        <w:rPr>
          <w:rFonts w:cs="Tahoma" w:ascii="Tahoma" w:hAnsi="Tahoma"/>
          <w:sz w:val="18"/>
          <w:szCs w:val="18"/>
        </w:rPr>
        <w:t xml:space="preserve"> </w:t>
      </w:r>
      <w:r>
        <w:rPr>
          <w:rFonts w:cs="Tahoma" w:ascii="Tahoma" w:hAnsi="Tahoma"/>
          <w:sz w:val="18"/>
          <w:szCs w:val="18"/>
          <w:lang w:val="en-US"/>
        </w:rPr>
        <w:t>INDUSTRIES</w:t>
      </w:r>
      <w:r>
        <w:rPr>
          <w:rFonts w:cs="Tahoma" w:ascii="Tahoma" w:hAnsi="Tahoma"/>
          <w:b/>
          <w:sz w:val="18"/>
          <w:szCs w:val="18"/>
        </w:rPr>
        <w:t xml:space="preserve"> </w:t>
      </w:r>
      <w:r>
        <w:rPr>
          <w:rFonts w:cs="Tahoma" w:ascii="Tahoma" w:hAnsi="Tahoma"/>
          <w:b/>
          <w:sz w:val="18"/>
          <w:szCs w:val="18"/>
          <w:lang w:val="en-US"/>
        </w:rPr>
        <w:t>www</w:t>
      </w:r>
      <w:r>
        <w:rPr>
          <w:rFonts w:cs="Tahoma" w:ascii="Tahoma" w:hAnsi="Tahoma"/>
          <w:b/>
          <w:sz w:val="18"/>
          <w:szCs w:val="18"/>
        </w:rPr>
        <w:t>.</w:t>
      </w:r>
      <w:r>
        <w:rPr>
          <w:rFonts w:cs="Tahoma" w:ascii="Tahoma" w:hAnsi="Tahoma"/>
          <w:b/>
          <w:sz w:val="18"/>
          <w:szCs w:val="18"/>
          <w:lang w:val="en-US"/>
        </w:rPr>
        <w:t>tor</w:t>
      </w:r>
      <w:r>
        <w:rPr>
          <w:rFonts w:cs="Tahoma" w:ascii="Tahoma" w:hAnsi="Tahoma"/>
          <w:b/>
          <w:sz w:val="18"/>
          <w:szCs w:val="18"/>
        </w:rPr>
        <w:t>-</w:t>
      </w:r>
      <w:r>
        <w:rPr>
          <w:rFonts w:cs="Tahoma" w:ascii="Tahoma" w:hAnsi="Tahoma"/>
          <w:b/>
          <w:sz w:val="18"/>
          <w:szCs w:val="18"/>
          <w:lang w:val="en-US"/>
        </w:rPr>
        <w:t>industries</w:t>
      </w:r>
      <w:r>
        <w:rPr>
          <w:rFonts w:cs="Tahoma" w:ascii="Tahoma" w:hAnsi="Tahoma"/>
          <w:b/>
          <w:sz w:val="18"/>
          <w:szCs w:val="18"/>
        </w:rPr>
        <w:t>.</w:t>
      </w:r>
      <w:r>
        <w:rPr>
          <w:rFonts w:cs="Tahoma" w:ascii="Tahoma" w:hAnsi="Tahoma"/>
          <w:b/>
          <w:sz w:val="18"/>
          <w:szCs w:val="18"/>
          <w:lang w:val="en-US"/>
        </w:rPr>
        <w:t>com</w:t>
      </w:r>
      <w:r>
        <w:rPr>
          <w:rFonts w:cs="Tahoma" w:ascii="Tahoma" w:hAnsi="Tahoma"/>
          <w:b/>
          <w:sz w:val="18"/>
          <w:szCs w:val="18"/>
        </w:rPr>
        <w:t xml:space="preserve"> </w:t>
      </w:r>
      <w:r>
        <w:rPr>
          <w:rFonts w:cs="Tahoma" w:ascii="Tahoma" w:hAnsi="Tahoma"/>
          <w:sz w:val="18"/>
          <w:szCs w:val="18"/>
        </w:rPr>
        <w:t>(раздел «сервис») и оформите до года дополнительного гарантийного обслуживания.</w:t>
      </w:r>
      <w:r>
        <w:rPr/>
        <w:t xml:space="preserve"> </w:t>
      </w:r>
      <w:r>
        <w:rPr>
          <w:rFonts w:cs="Tahoma" w:ascii="Tahoma" w:hAnsi="Tahoma"/>
          <w:sz w:val="18"/>
          <w:szCs w:val="18"/>
        </w:rPr>
        <w:t xml:space="preserve">Подтверждением предоставления расширенной гарантии является Гарантийный сертификат. </w:t>
      </w:r>
    </w:p>
    <w:p>
      <w:pPr>
        <w:pStyle w:val="NormalWeb"/>
        <w:spacing w:beforeAutospacing="0" w:before="0" w:afterAutospacing="0" w:after="240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Style w:val="Strong"/>
          <w:rFonts w:cs="Tahoma" w:ascii="Tahoma" w:hAnsi="Tahoma"/>
          <w:sz w:val="18"/>
          <w:szCs w:val="18"/>
        </w:rPr>
        <w:t>Гарантийный сертификат действителен только при наличии документа, подтверждающее приобретение.</w:t>
      </w:r>
    </w:p>
    <w:p>
      <w:pPr>
        <w:pStyle w:val="Normal"/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0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485775" cy="431800"/>
            <wp:effectExtent l="0" t="0" r="0" b="0"/>
            <wp:wrapNone/>
            <wp:docPr id="13" name="Рисунок 14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4" descr="ACHTUNG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И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нформация данного раздела действительна на момент печати настоящего руководства. Актуальная информация о действующих правилах гарантийного обслуживания опубликована на официальном сайте группы компаний TOR INDUSTRIES </w:t>
      </w:r>
      <w:r>
        <w:rPr>
          <w:rFonts w:eastAsia="Times New Roman" w:cs="Tahoma" w:ascii="Tahoma" w:hAnsi="Tahoma"/>
          <w:b/>
          <w:sz w:val="18"/>
          <w:szCs w:val="18"/>
          <w:lang w:eastAsia="ru-RU"/>
        </w:rPr>
        <w:t>www.tor-industries.com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 (раздел «сервис»).</w:t>
      </w:r>
    </w:p>
    <w:p>
      <w:pPr>
        <w:pStyle w:val="Normal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>Отметки о периодических проверках.</w:t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407"/>
        <w:gridCol w:w="4939"/>
        <w:gridCol w:w="4596"/>
      </w:tblGrid>
      <w:tr>
        <w:trPr/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Дата</w:t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Сведения о проверке или ремонте оборудования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Style23"/>
              <w:tabs>
                <w:tab w:val="clear" w:pos="4677"/>
                <w:tab w:val="clear" w:pos="9355"/>
              </w:tabs>
              <w:jc w:val="center"/>
              <w:rPr>
                <w:rFonts w:ascii="Tahoma" w:hAnsi="Tahoma" w:cs="Tahoma"/>
                <w:b/>
                <w:b/>
                <w:bCs/>
                <w:sz w:val="18"/>
                <w:szCs w:val="18"/>
              </w:rPr>
            </w:pPr>
            <w:r>
              <w:rPr>
                <w:rFonts w:cs="Tahoma" w:ascii="Tahoma" w:hAnsi="Tahoma"/>
                <w:b/>
                <w:bCs/>
                <w:sz w:val="18"/>
                <w:szCs w:val="18"/>
              </w:rPr>
              <w:t>Подпись ответственного лица</w:t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567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</w:tbl>
    <w:p>
      <w:pPr>
        <w:pStyle w:val="Normal"/>
        <w:spacing w:before="0" w:after="160"/>
        <w:jc w:val="both"/>
        <w:rPr/>
      </w:pPr>
      <w:r>
        <w:rPr/>
      </w:r>
    </w:p>
    <w:sectPr>
      <w:footerReference w:type="default" r:id="rId14"/>
      <w:type w:val="nextPage"/>
      <w:pgSz w:w="11906" w:h="16838"/>
      <w:pgMar w:left="567" w:right="397" w:header="0" w:top="397" w:footer="0" w:bottom="397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roman"/>
    <w:pitch w:val="variable"/>
  </w:font>
  <w:font w:name="DaxlineCyrLF-Medium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30921298"/>
    </w:sdtPr>
    <w:sdtContent>
      <w:p>
        <w:pPr>
          <w:pStyle w:val="Style23"/>
          <w:jc w:val="center"/>
          <w:rPr/>
        </w:pPr>
        <w:r>
          <w:rPr>
            <w:rFonts w:cs="Tahoma" w:ascii="Tahoma" w:hAnsi="Tahoma"/>
            <w:sz w:val="18"/>
            <w:szCs w:val="18"/>
          </w:rPr>
          <w:fldChar w:fldCharType="begin"/>
        </w:r>
        <w:r>
          <w:rPr>
            <w:sz w:val="18"/>
            <w:szCs w:val="18"/>
            <w:rFonts w:cs="Tahoma" w:ascii="Tahoma" w:hAnsi="Tahoma"/>
          </w:rPr>
          <w:instrText> PAGE </w:instrText>
        </w:r>
        <w:r>
          <w:rPr>
            <w:sz w:val="18"/>
            <w:szCs w:val="18"/>
            <w:rFonts w:cs="Tahoma" w:ascii="Tahoma" w:hAnsi="Tahoma"/>
          </w:rPr>
          <w:fldChar w:fldCharType="separate"/>
        </w:r>
        <w:r>
          <w:rPr>
            <w:sz w:val="18"/>
            <w:szCs w:val="18"/>
            <w:rFonts w:cs="Tahoma" w:ascii="Tahoma" w:hAnsi="Tahoma"/>
          </w:rPr>
          <w:t>6</w:t>
        </w:r>
        <w:r>
          <w:rPr>
            <w:sz w:val="18"/>
            <w:szCs w:val="18"/>
            <w:rFonts w:cs="Tahoma" w:ascii="Tahoma" w:hAnsi="Tahoma"/>
          </w:rPr>
          <w:fldChar w:fldCharType="end"/>
        </w:r>
      </w:p>
    </w:sdtContent>
  </w:sdt>
  <w:p>
    <w:pPr>
      <w:pStyle w:val="Style23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  <w:rFonts w:cs="Times New Roman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  <w:rFonts w:cs="Times New Roman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  <w:rFonts w:cs="Times New Roman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Нижний колонтитул Знак"/>
    <w:basedOn w:val="DefaultParagraphFont"/>
    <w:link w:val="a5"/>
    <w:uiPriority w:val="99"/>
    <w:qFormat/>
    <w:rsid w:val="00e478c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Основной текст Знак"/>
    <w:basedOn w:val="DefaultParagraphFont"/>
    <w:link w:val="a7"/>
    <w:qFormat/>
    <w:rsid w:val="001d1e2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6" w:customStyle="1">
    <w:name w:val="Верхний колонтитул Знак"/>
    <w:basedOn w:val="DefaultParagraphFont"/>
    <w:link w:val="a9"/>
    <w:uiPriority w:val="99"/>
    <w:qFormat/>
    <w:rsid w:val="001d1e25"/>
    <w:rPr/>
  </w:style>
  <w:style w:type="character" w:styleId="Strong">
    <w:name w:val="Strong"/>
    <w:basedOn w:val="DefaultParagraphFont"/>
    <w:uiPriority w:val="22"/>
    <w:qFormat/>
    <w:rsid w:val="0035153f"/>
    <w:rPr>
      <w:b/>
      <w:bCs/>
    </w:rPr>
  </w:style>
  <w:style w:type="character" w:styleId="Appleconvertedspace" w:customStyle="1">
    <w:name w:val="apple-converted-space"/>
    <w:basedOn w:val="DefaultParagraphFont"/>
    <w:qFormat/>
    <w:rsid w:val="0035153f"/>
    <w:rPr/>
  </w:style>
  <w:style w:type="character" w:styleId="Val" w:customStyle="1">
    <w:name w:val="val"/>
    <w:basedOn w:val="DefaultParagraphFont"/>
    <w:qFormat/>
    <w:rsid w:val="000c0257"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rsid w:val="001d1e25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4f01e2"/>
    <w:pPr>
      <w:spacing w:before="0" w:after="160"/>
      <w:ind w:left="720" w:hanging="0"/>
      <w:contextualSpacing/>
    </w:pPr>
    <w:rPr/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Footer"/>
    <w:basedOn w:val="Normal"/>
    <w:link w:val="a6"/>
    <w:uiPriority w:val="99"/>
    <w:rsid w:val="00e478c0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4">
    <w:name w:val="Header"/>
    <w:basedOn w:val="Normal"/>
    <w:link w:val="aa"/>
    <w:uiPriority w:val="99"/>
    <w:unhideWhenUsed/>
    <w:rsid w:val="001d1e25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unhideWhenUsed/>
    <w:qFormat/>
    <w:rsid w:val="00624d0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5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39"/>
    <w:rsid w:val="004f01e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leGrid">
    <w:name w:val="TableGrid"/>
    <w:rsid w:val="00454c7b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png"/><Relationship Id="rId6" Type="http://schemas.microsoft.com/office/2007/relationships/hdphoto" Target="media/hdphoto1.wdp"/><Relationship Id="rId7" Type="http://schemas.openxmlformats.org/officeDocument/2006/relationships/image" Target="media/image5.jpeg"/><Relationship Id="rId8" Type="http://schemas.openxmlformats.org/officeDocument/2006/relationships/image" Target="media/image6.jpeg"/><Relationship Id="rId9" Type="http://schemas.openxmlformats.org/officeDocument/2006/relationships/image" Target="media/image7.png"/><Relationship Id="rId10" Type="http://schemas.openxmlformats.org/officeDocument/2006/relationships/image" Target="media/image8.jpeg"/><Relationship Id="rId11" Type="http://schemas.openxmlformats.org/officeDocument/2006/relationships/image" Target="media/image9.wmf"/><Relationship Id="rId12" Type="http://schemas.openxmlformats.org/officeDocument/2006/relationships/image" Target="media/image10.wmf"/><Relationship Id="rId13" Type="http://schemas.openxmlformats.org/officeDocument/2006/relationships/image" Target="media/image11.wmf"/><Relationship Id="rId14" Type="http://schemas.openxmlformats.org/officeDocument/2006/relationships/footer" Target="footer1.xml"/><Relationship Id="rId15" Type="http://schemas.openxmlformats.org/officeDocument/2006/relationships/numbering" Target="numbering.xml"/><Relationship Id="rId16" Type="http://schemas.openxmlformats.org/officeDocument/2006/relationships/fontTable" Target="fontTable.xml"/><Relationship Id="rId17" Type="http://schemas.openxmlformats.org/officeDocument/2006/relationships/settings" Target="settings.xml"/><Relationship Id="rId1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2077</TotalTime>
  <Application>LibreOffice/6.3.4.2$Windows_x86 LibreOffice_project/60da17e045e08f1793c57c00ba83cdfce946d0aa</Application>
  <Pages>10</Pages>
  <Words>1125</Words>
  <Characters>7510</Characters>
  <CharactersWithSpaces>8611</CharactersWithSpaces>
  <Paragraphs>176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2017-09-08T09:51:00Z</dcterms:created>
  <dc:creator>Inna</dc:creator>
  <dc:description/>
  <dc:language>ru-RU</dc:language>
  <cp:lastModifiedBy>Inna</cp:lastModifiedBy>
  <dcterms:modified xsi:type="dcterms:W3CDTF">2019-03-07T09:32:00Z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